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0"/>
        <w:ind w:right="957" w:left="617"/>
        <w:jc w:val="center"/>
        <w:rPr>
          <w:b/>
          <w:sz w:val="26"/>
        </w:rPr>
      </w:pPr>
      <w:r>
        <w:rPr>
          <w:b/>
          <w:sz w:val="26"/>
        </w:rPr>
        <w:t xml:space="preserve">ОБЪЯВЛЕНИЕ</w:t>
      </w:r>
      <w:r>
        <w:rPr>
          <w:b/>
          <w:sz w:val="26"/>
        </w:rPr>
      </w:r>
      <w:r>
        <w:rPr>
          <w:b/>
          <w:sz w:val="26"/>
        </w:rPr>
      </w:r>
    </w:p>
    <w:p>
      <w:pPr>
        <w:pBdr/>
        <w:spacing w:before="1"/>
        <w:ind w:right="957" w:left="620"/>
        <w:jc w:val="center"/>
        <w:rPr>
          <w:b/>
          <w:sz w:val="26"/>
        </w:rPr>
      </w:pPr>
      <w:r>
        <w:rPr>
          <w:b/>
          <w:sz w:val="26"/>
        </w:rPr>
        <w:t xml:space="preserve">О ПРОВЕДЕНИИ ОТБОРА </w:t>
      </w:r>
      <w:r>
        <w:rPr>
          <w:b/>
          <w:sz w:val="26"/>
        </w:rPr>
        <w:t xml:space="preserve">ПОЛУЧАТЕЛЕЙ  СУБСИДИИ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06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6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ОПЛАТОЙ УСЛУГ ТОРГОВЫХ ПЛОЩАДОК ПО ПРОДАЖАМ ТОВАРОВ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7"/>
        <w:pBdr/>
        <w:spacing w:before="11"/>
        <w:ind/>
        <w:rPr>
          <w:b/>
          <w:highlight w:val="lightGray"/>
        </w:rPr>
      </w:pPr>
      <w:r>
        <w:rPr>
          <w:b/>
          <w:highlight w:val="lightGray"/>
        </w:rPr>
      </w:r>
      <w:r>
        <w:rPr>
          <w:b/>
          <w:highlight w:val="lightGray"/>
        </w:rPr>
      </w:r>
      <w:r>
        <w:rPr>
          <w:b/>
          <w:highlight w:val="lightGray"/>
        </w:rPr>
      </w:r>
    </w:p>
    <w:tbl>
      <w:tblPr>
        <w:tblStyle w:val="89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38"/>
        <w:gridCol w:w="7113"/>
        <w:gridCol w:w="114"/>
      </w:tblGrid>
      <w:tr>
        <w:trPr>
          <w:trHeight w:val="137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Нормативный правовой акт, регулирующий проведение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130 от 07 октября 2024 года «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 утверждении Порядка предоставления субсидий субъектам малого и среднего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«Интернет» и признании </w:t>
            </w:r>
            <w:r>
              <w:rPr>
                <w:sz w:val="24"/>
                <w:szCs w:val="24"/>
              </w:rPr>
              <w:t xml:space="preserve">утратившими силу некоторых приказов управления экономического развития Липецкой области</w:t>
            </w:r>
            <w:r>
              <w:rPr>
                <w:sz w:val="24"/>
                <w:szCs w:val="24"/>
              </w:rPr>
              <w:t xml:space="preserve">» (далее – Порядок)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9"/>
              <w:pBdr/>
              <w:spacing/>
              <w:ind w:right="5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Сроки проведения отбора (дата и время начала и окончания подачи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заявок)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 w:line="275" w:lineRule="exact"/>
              <w:ind w:right="57"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начала подачи (приема) заявок на участие в отборе: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14 октября 2024 </w:t>
            </w:r>
            <w:r>
              <w:rPr>
                <w:sz w:val="24"/>
              </w:rPr>
              <w:t xml:space="preserve">года 8:30 по московскому времени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Дата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окончания подачи (приема) заявок на участие 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отборе: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</w:r>
            <w:r>
              <w:rPr>
                <w:sz w:val="24"/>
              </w:rPr>
              <w:t xml:space="preserve">25 октября 2024 года 17:30 по московскому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</w:p>
        </w:tc>
      </w:tr>
      <w:tr>
        <w:trPr>
          <w:trHeight w:val="3036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7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 w:line="276" w:lineRule="exact"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Наименование, место нахождения, почтовый адрес, адрес электронной почты организатора отбора, доменного имени, и (или) сетевого адреса, и (или) указателей страниц сайта в информационно- телекоммуникационной сети «Интернет»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экономического развития Липецкой области (</w:t>
            </w:r>
            <w:r>
              <w:rPr>
                <w:sz w:val="24"/>
              </w:rPr>
              <w:t xml:space="preserve">далее –</w:t>
            </w:r>
            <w:r>
              <w:rPr>
                <w:b/>
                <w:sz w:val="24"/>
              </w:rPr>
              <w:t xml:space="preserve"> Управление)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почтовый адрес: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398014, г. Липецк, пл. Ленина - Соборная,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место нахождения:</w:t>
            </w:r>
            <w:r>
              <w:rPr>
                <w:sz w:val="24"/>
              </w:rPr>
              <w:t xml:space="preserve"> г. Липецк, ул. Кузнечная, д. 8, каб. 206.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адрес электронной почты:</w:t>
            </w:r>
            <w:r>
              <w:rPr>
                <w:sz w:val="24"/>
              </w:rPr>
              <w:t xml:space="preserve"> ed@admlr.lipetsk.ru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график работы: </w:t>
            </w:r>
            <w:r>
              <w:rPr>
                <w:sz w:val="24"/>
              </w:rPr>
              <w:t xml:space="preserve">в рабочие дни с 8.30 до 17.30 часов (в пятницу 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8.30 до 16.30 часов), перерыв с 13.00 до 13.48 часов по московскому времени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 w:right="57" w:firstLine="74"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официальный сайт Управления: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Bdr/>
              <w:spacing/>
              <w:ind w:right="57" w:firstLine="74" w:left="57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 xml:space="preserve">https://экономика.липецкаяобласть.рф</w:t>
            </w:r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</w:p>
          <w:p>
            <w:pPr>
              <w:pBdr/>
              <w:spacing/>
              <w:ind w:right="57" w:left="57"/>
              <w:rPr>
                <w:sz w:val="24"/>
                <w:szCs w:val="20"/>
                <w:lang w:eastAsia="ru-RU"/>
              </w:rPr>
            </w:pPr>
            <w:r>
              <w:rPr>
                <w:b/>
                <w:sz w:val="24"/>
              </w:rPr>
              <w:t xml:space="preserve">доменное имя, и (или) сетевой адрес, и (или) указатель</w:t>
            </w:r>
            <w:r>
              <w:rPr>
                <w:b/>
                <w:sz w:val="24"/>
              </w:rPr>
              <w:t xml:space="preserve"> страниц сайта в информационно-телекоммуникационной сети «Интернет»: </w:t>
            </w:r>
            <w:hyperlink r:id="rId10" w:tooltip="https://экономика.липецкаяобласть.рф/document" w:history="1">
              <w:r>
                <w:rPr>
                  <w:rStyle w:val="904"/>
                  <w:sz w:val="24"/>
                  <w:szCs w:val="20"/>
                  <w:lang w:eastAsia="ru-RU"/>
                </w:rPr>
                <w:t xml:space="preserve">https://экономика.липецкаяобласть.рф/document</w:t>
              </w:r>
            </w:hyperlink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</w:p>
          <w:p>
            <w:pPr>
              <w:pBdr/>
              <w:spacing/>
              <w:ind w:right="57" w:left="57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</w:p>
        </w:tc>
      </w:tr>
      <w:tr>
        <w:trPr>
          <w:trHeight w:val="3407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 w:line="272" w:lineRule="exact"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предоставления субсидии и характеристика (показатель, необходимый 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достижения результата предоставления субсидии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left="57"/>
              <w:jc w:val="both"/>
              <w:rPr/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Результатом предоставления субсидии является количество сохраненных рабочих мест субъектами малого и среднего предпринимательства, получившими финансовую поддержку.</w:t>
            </w:r>
            <w:r>
              <w:rPr>
                <w:sz w:val="24"/>
              </w:rPr>
            </w:r>
            <w:r/>
          </w:p>
          <w:p>
            <w:pPr>
              <w:pStyle w:val="899"/>
              <w:pBdr/>
              <w:spacing/>
              <w:ind w:right="57" w:left="57"/>
              <w:jc w:val="both"/>
              <w:rPr/>
            </w:pPr>
            <w:r>
              <w:rPr>
                <w:sz w:val="24"/>
              </w:rPr>
              <w:t xml:space="preserve">Типом результата предоставления субсидии является оказание финансовой поддержки юридическим лицам, индивидуальным предпринимателям, а также физическим лицам – производителям товаров, работ, услуг.</w:t>
            </w:r>
            <w:r>
              <w:rPr>
                <w:sz w:val="24"/>
              </w:rPr>
            </w:r>
            <w:r/>
          </w:p>
          <w:p>
            <w:pPr>
              <w:pStyle w:val="899"/>
              <w:pBdr/>
              <w:spacing/>
              <w:ind w:right="57" w:lef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Точная дата завершения и конечное значение результата предоставления субсидии (конкретной количественной характеристики итогов) устанавливается в соглашении.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gridAfter w:val="1"/>
          <w:trHeight w:val="3586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289" w:left="1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Условия и требования к участникам отбора в соответствии с законом Липецкой области от 19.12.20223года № 423-</w:t>
            </w:r>
            <w:r>
              <w:rPr>
                <w:sz w:val="24"/>
                <w:highlight w:val="white"/>
              </w:rPr>
              <w:t xml:space="preserve">ОЗ «Об областном бюджете на 2024 год и на плановый период 2025 и 2026 годов» (далее – закон об областном бюджете),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99"/>
              <w:pBdr/>
              <w:spacing/>
              <w:ind w:right="289" w:left="109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Приказом управления экономического раз</w:t>
            </w:r>
            <w:r>
              <w:rPr>
                <w:sz w:val="24"/>
              </w:rPr>
              <w:t xml:space="preserve">вития Липецкой области от 07.10.2024года № 130 «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б утверждении Порядка предоставления субсидий субъектам малого и среднего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«Интернет» и признании </w:t>
            </w:r>
            <w:r>
              <w:rPr>
                <w:sz w:val="24"/>
              </w:rPr>
              <w:t xml:space="preserve">утратившими силу некоторых приказов управления экономического развития Липецкой области</w:t>
            </w:r>
            <w:r>
              <w:rPr>
                <w:sz w:val="24"/>
              </w:rPr>
              <w:t xml:space="preserve">» (далее – Порядок)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7113" w:type="dxa"/>
            <w:textDirection w:val="lrTb"/>
            <w:noWrap w:val="false"/>
          </w:tcPr>
          <w:p>
            <w:pPr>
              <w:pStyle w:val="900"/>
              <w:pBdr/>
              <w:tabs>
                <w:tab w:val="left" w:leader="none" w:pos="925"/>
              </w:tabs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   Участник отбора на дату подачи документов должен соответствовать следующим условиям и требованиям: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</w:t>
            </w:r>
            <w:r>
              <w:rPr>
                <w:sz w:val="24"/>
                <w:szCs w:val="24"/>
                <w:highlight w:val="white"/>
              </w:rPr>
              <w:t xml:space="preserve"> в капитале указанных публичных акционерных обществ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 w:line="283" w:lineRule="atLeast"/>
              <w:ind w:firstLine="540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</w:t>
            </w:r>
            <w:r>
              <w:rPr>
                <w:sz w:val="24"/>
                <w:szCs w:val="24"/>
                <w:highlight w:val="white"/>
              </w:rPr>
              <w:t xml:space="preserve">ескими организациями и террористами или с распространением оружия массового уничтожения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не получает средства из областного бюджета на основании иных нормативных правовых актов на цели, установленные пунктом 1 Порядка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не является иностранным агентом в соответствии с Федеральным законом от 14 июля 2022 года № 255 – ФЗ «О контроле за деятельностью лиц, находящихся под иностранным влиянием»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rFonts w:eastAsia="TimesNew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сутствуют просроченная задолженность по возврату в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Липецкой областью (за исключением случаев, установл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енных Правительством Липецкой области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);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rFonts w:eastAsia="TimesNewRoman"/>
                <w:sz w:val="26"/>
                <w:szCs w:val="26"/>
                <w:highlight w:val="white"/>
              </w:rPr>
            </w:pPr>
            <w:r>
              <w:rPr>
                <w:rFonts w:eastAsia="TimesNewRoman"/>
                <w:sz w:val="24"/>
                <w:szCs w:val="24"/>
                <w:highlight w:val="none"/>
              </w:rPr>
              <w:t xml:space="preserve">юридическое лицо </w:t>
            </w:r>
            <w:r>
              <w:rPr>
                <w:rFonts w:eastAsia="TimesNewRoman"/>
                <w:sz w:val="24"/>
                <w:szCs w:val="24"/>
                <w:highlight w:val="white"/>
              </w:rPr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я субсидии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right="57" w:firstLine="539" w:left="113"/>
              <w:jc w:val="both"/>
              <w:rPr>
                <w:rFonts w:eastAsia="TimesNewRoman"/>
                <w:sz w:val="26"/>
                <w:szCs w:val="26"/>
                <w:highlight w:val="white"/>
              </w:rPr>
            </w:pPr>
            <w:r/>
            <w:bookmarkStart w:id="0" w:name="P92"/>
            <w:r/>
            <w:bookmarkEnd w:id="0"/>
            <w:r>
              <w:rPr>
                <w:rFonts w:eastAsia="TimesNew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right="57" w:firstLine="539" w:left="113"/>
              <w:jc w:val="both"/>
              <w:rPr>
                <w:rFonts w:eastAsia="TimesNewRoman"/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а дату формирования справки, но не ранее даты подачи заявки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 в бюджеты бюджетной системы Российской Федерации.</w:t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</w:p>
          <w:p>
            <w:pPr>
              <w:pStyle w:val="900"/>
              <w:pBdr/>
              <w:spacing/>
              <w:ind w:right="57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Должен обеспечить соблюдение следующих условий: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отсутствует задолженность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осуществляет деятельность и зарегистрирован на территории Липецкой области после 01 января 2022 года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является действующим поставщиком торговой площадки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сохранить не менее 90 процентов численности сотрудников в течение 36 месяцев со дня поступления субсидии на расчетный счет (при наличии сотрудников на дату подачи заявки на получение субсидии)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осуществлять предпринимательскую деятельность в течение не менее трех лет со дня поступления субсидии на 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 получает и не получал ранее средства из бюджета Липецкой области на основании иных нормативных правовых актов на возмещение  части  затрат,  связанных  с  оплатой  услуг торговых площадок  по  продажам  товаров  в 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«Интернет»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-получатель субсидии должен быть зарегистрирован и осуществлять деятельность на территории Липецкой области по следующим видам деятельности в соответствии с разделами Общероссийского </w:t>
            </w:r>
            <w:hyperlink r:id="rId11" w:tooltip="consultantplus://offline/ref=EC960D7D8A82FC3CEF7DFBADB9422B96B371E64B6502E2B1869636D035D9FC60EA6F00945E70E8BE7D787A2A27o05C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none"/>
                </w:rPr>
                <w:t xml:space="preserve">классификатора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видов экономической деятельности ОК 029-2014 (КДЕС Ред. 2), утвержденного приказом Росстандарта от 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 (КПЕС 2008)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":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раздел С "Обрабатывающие производства" - за исключением производства подакцизных товаров;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аздел G "Торговля оптовая и розничная; ремонт автотранспортных средств и мотоциклов" - код 47 "Торговля розничная, кроме торговли автотранспортными средствами и мотоциклами" - группа 47.91 "Торговля розничная по почте или по информационно-коммуникационной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ети Интернет" за исключением реализации подакцизных товаров - в отношении индивидуальных предпринимателей в возрасте до 35 лет включительно и юридических лиц, доля (суммарная доля) участия в уставном (складочном, акционерном) капитале которых одного или 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скольких физических лиц в возрасте до 35 лет включительно превышает 50 процентов (далее - молодые предприниматели).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 возмещению принимаются затраты, произведенные по безналичному расчету и подтвержденные соответствующими платежными документами.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Возмещению подлежат следующие затраты: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 w:firstLine="709" w:left="57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комиссии и тарифы маркетплейсов за услуги (за исключением рекламы и фотоуслуг), связанные с реализацией товаров на маркетплейсах, а также затраты на комиссию маркетплейсов за размещение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90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убсидии предоставляются в размере 50 процентов затрат, произведенных в году, предшествующему текущему финансовому году, и текущем финансовом году на предоставление комиссии и тарифов маркетплейсам за услуги (за исключением рекламы и фотоуслуг), связанные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реализацией товаров на маркетплейсах, а также затрат на комиссию маркетплейсов за размещение, но не более 500 000,00 руб. на одного 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0"/>
              <w:pBdr/>
              <w:tabs>
                <w:tab w:val="left" w:leader="none" w:pos="851"/>
                <w:tab w:val="left" w:leader="none" w:pos="993"/>
              </w:tabs>
              <w:spacing/>
              <w:ind w:right="57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     Дополнительные требования к участнику отбора на дату подачи заявки: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0"/>
              <w:numPr>
                <w:ilvl w:val="0"/>
                <w:numId w:val="13"/>
              </w:numPr>
              <w:pBdr/>
              <w:tabs>
                <w:tab w:val="left" w:leader="none" w:pos="851"/>
                <w:tab w:val="left" w:leader="none" w:pos="993"/>
              </w:tabs>
              <w:spacing/>
              <w:ind w:right="57" w:firstLine="567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должна отсутствовать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росроченная задолженность по возврату в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Липецкой областью (за исключением случаев, установленных Прави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тельством Липецкой области)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99"/>
              <w:pBdr/>
              <w:spacing/>
              <w:ind w:right="57" w:firstLine="499" w:left="5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899"/>
              <w:pBdr/>
              <w:spacing/>
              <w:ind w:right="57" w:firstLine="499" w:left="5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Внесение изменений в соглашение о предоставлении субсидии (расторжение соглашения о предоставлении субсидии) осуществляется на основании дополнительного соглашения в соответствии с типовой формой, утвержденной управлением финансов Липецкой области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rPr>
          <w:gridAfter w:val="1"/>
          <w:trHeight w:val="1103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Критерии отбора, способ проведения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113" w:type="dxa"/>
            <w:textDirection w:val="lrTb"/>
            <w:noWrap w:val="false"/>
          </w:tcPr>
          <w:p>
            <w:pPr>
              <w:pStyle w:val="899"/>
              <w:pBdr/>
              <w:tabs>
                <w:tab w:val="left" w:leader="none" w:pos="823"/>
              </w:tabs>
              <w:spacing/>
              <w:ind w:right="57" w:firstLine="534" w:left="5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О</w:t>
            </w:r>
            <w:r>
              <w:rPr>
                <w:sz w:val="24"/>
                <w:highlight w:val="white"/>
              </w:rPr>
              <w:t xml:space="preserve">тбор осуществляется управлением на конкурентной основе способом запроса предложений на основании заявок, направленных участниками отбора для участия в отборе (далее - заявка), исходя из соответствия участника отбора категории, условиям и требованиям, устан</w:t>
            </w:r>
            <w:r>
              <w:rPr>
                <w:sz w:val="24"/>
                <w:highlight w:val="white"/>
              </w:rPr>
              <w:t xml:space="preserve">овленным порядком, а также очередностью поступления заявок.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rPr>
          <w:gridAfter w:val="1"/>
          <w:trHeight w:val="368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tabs>
                <w:tab w:val="left" w:leader="none" w:pos="1510"/>
              </w:tabs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Перечень документов, </w:t>
            </w:r>
            <w:r>
              <w:rPr>
                <w:sz w:val="24"/>
              </w:rPr>
              <w:t xml:space="preserve">представляемых участниками отбора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7113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right="57" w:firstLine="420" w:left="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Участник отбора </w:t>
            </w:r>
            <w:r>
              <w:rPr>
                <w:sz w:val="24"/>
                <w:highlight w:val="white"/>
              </w:rPr>
              <w:t xml:space="preserve">в сроки</w:t>
            </w:r>
            <w:r>
              <w:rPr>
                <w:sz w:val="24"/>
                <w:highlight w:val="white"/>
              </w:rPr>
              <w:t xml:space="preserve"> указанные в п. 2 объявления предоставляет заявку по форме согласно Приложению 1 к</w:t>
            </w:r>
            <w:r>
              <w:rPr>
                <w:spacing w:val="5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 объявлению с приложением следующих документов: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документа, удостоверяющего личность гражданина Российской Федерации (для молодых предпринимателей)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 договоров со всеми приложениями, дополнительными соглашениями и формами для отчетности (при наличии), являющимися неотъемлемой частью договора, на оказание услуг (за исключением рекламы и фотоуслуг), связанных с реализацией товаров на маркетплейсах,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оферты с приложением документов, подтверждающих акцепт оферты, со всеми приложениями и формами для отчетности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 актов выполненных работ (оказанных услуг), и (или) универсального передаточного документа, и (или) счета-фактуры, и отчета по представленному договору (оферте), указанных в подпункте 2 настоящего пункта, за год, предшествующий текущему финансовому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и текущий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опии документов, подтверждающих произведенные затраты по оказанным услугам (за исключением рекламы и фотоуслуг), связанным с реализацией товаров на маркетплейсах, а также затрат на комиссию маркетплейсов за размещение, с приложением копий документов, указа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нных в назначении платежа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справки об отсутствии задолженности по заработной плате перед работниками на дату подачи документов;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реестр заявленных расходов на логистику по форме согласно приложению 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описи документов в 2 экземплярах.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69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165" w:left="109"/>
              <w:rPr>
                <w:sz w:val="24"/>
              </w:rPr>
            </w:pPr>
            <w:r>
              <w:rPr>
                <w:sz w:val="24"/>
              </w:rPr>
              <w:t xml:space="preserve">Порядок подачи заявок и требований,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258" w:left="109"/>
              <w:rPr>
                <w:sz w:val="24"/>
              </w:rPr>
            </w:pPr>
            <w:r>
              <w:rPr>
                <w:sz w:val="24"/>
              </w:rPr>
              <w:t xml:space="preserve">предъявляемых к форме и содержанию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В случае предоставления заявки и пакета документов на бумажном носителе: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заявка и прилагаемые к ней документы (копии документов) должны быть прошиты, страницы пронумерованы, подписаны участником отбора (руководителем участника отбора) и заверены печатью участника отбора (при наличии);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при подаче документов участник отбора (представитель участника отбора) представляет для сверки оригиналы всех документов, копии которых представлены им в составе заявки;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</w:t>
            </w:r>
            <w:r>
              <w:rPr>
                <w:sz w:val="24"/>
                <w:szCs w:val="24"/>
              </w:rPr>
              <w:t xml:space="preserve">очия, оформленный в соответствии с действующим законодательством: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регистрация представленных заявок и прилагаемых к ним документов, указанных в настоящем пункте, осуществляется должностным лицом, уполномоченным приказом Управления на прием документов, в день их поступления в порядке очередности их поступления;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документы, представленные для получения субсидии, возврату не подлежат.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В случае подачи заявки и пакета документов через ЦП МСП: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/>
            </w:pPr>
            <w:r>
              <w:rPr>
                <w:sz w:val="24"/>
                <w:szCs w:val="24"/>
              </w:rPr>
              <w:t xml:space="preserve">участник отбора, претендующий на получение субсидии, представляет заявку и перечень документов, предусмотренных настоящим пунктом, в электронной форме посредством ЦП МСП;</w:t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для представления заявки участник отбора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подписываются ЭП. 
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Порядок отзыва заявок, возврата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firstLine="567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отбора может отозвать заявку в срок до принятия Управлением решения о предоставлении субсидии или об отказе в предоставлении субсидии, путём направления письменного запроса в адрес Управления.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437" w:left="109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заявки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right="57" w:firstLine="567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заявку на участие в отборе и документы к</w:t>
            </w:r>
            <w:r>
              <w:rPr>
                <w:sz w:val="24"/>
              </w:rPr>
              <w:tab/>
              <w:t xml:space="preserve">ней,</w:t>
            </w:r>
            <w:r>
              <w:rPr>
                <w:sz w:val="24"/>
              </w:rPr>
              <w:tab/>
              <w:t xml:space="preserve">представленные</w:t>
            </w:r>
            <w:r>
              <w:rPr>
                <w:sz w:val="24"/>
              </w:rPr>
              <w:tab/>
              <w:t xml:space="preserve">участниками отбора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Управление,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833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217" w:left="109"/>
              <w:rPr>
                <w:sz w:val="24"/>
              </w:rPr>
            </w:pPr>
            <w:r>
              <w:rPr>
                <w:sz w:val="24"/>
              </w:rPr>
              <w:t xml:space="preserve">Правила рассмотрения и оценки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firstLine="567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10</w:t>
            </w:r>
            <w:r>
              <w:rPr>
                <w:sz w:val="24"/>
              </w:rPr>
              <w:t xml:space="preserve"> рабочих дней со дня, следующего за днём окончания срока подачи заявок, указанного в п. 2 объявления: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уполномоченное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рассматривает документы, указанные в пунктах 10 и 11  Порядка, проводит проверку указанных документов и участников отбора на соответствие предъявляемым Порядком требованиям и условиям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осуществляет  отбор, исходя из соответствия участника отбора категории, указанной в пункте 3 Порядка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оформляет результаты отбора протоколом  рассмотрения документов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подготавливает проект приказа с отражением в нем следующей информации: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дата, время и место проведения рассмотрения заявок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информация об участниках отбора, заявки которых были рассмотрены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  <w:r>
              <w:rPr>
                <w:sz w:val="24"/>
                <w:szCs w:val="24"/>
              </w:rPr>
              <w:t xml:space="preserve">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наименование получателей субсидий, с которыми заключаются соглашения о предоставлении субсидии, и размер предоставляемой им субсидии</w:t>
            </w:r>
            <w:r>
              <w:rPr>
                <w:sz w:val="24"/>
                <w:szCs w:val="24"/>
              </w:rPr>
              <w:t xml:space="preserve">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начальник управления подписывает приказ, подготовленный в соответствии с требованиями подпункта 1 пункта 12 Порядка (далее - приказ об утверждении перечня получателей субсидий)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 xml:space="preserve">уполномоченное лицо размещает приказ об утверждении перечня получателей субсидий на едином портале и на сайте управления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обедителями отбора признаются участники отбора, соответствующие установленным Порядком категории, условиям и требованиям, в пределах объема распределяемой субсидии, указанного в объявлении о проведении отбора получателей субсидий (далее - получат</w:t>
            </w:r>
            <w:r>
              <w:rPr>
                <w:sz w:val="24"/>
                <w:szCs w:val="24"/>
              </w:rPr>
              <w:t xml:space="preserve">ель субсидии)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8" w:lineRule="exact"/>
              <w:ind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140" w:left="109"/>
              <w:rPr>
                <w:sz w:val="24"/>
              </w:rPr>
            </w:pPr>
            <w:r>
              <w:rPr>
                <w:sz w:val="24"/>
              </w:rPr>
              <w:t xml:space="preserve">Порядок возврата заявок, основания для отклонения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Bdr/>
              <w:spacing w:line="240" w:lineRule="atLeast"/>
              <w:ind w:right="113" w:firstLine="442" w:left="113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Основания для отклонения заявок: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несоответствие участника отбора категории, условиям и требованиям, установленным в пунктах 3, 6, 7 Порядка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непредставление (представление не в полном объеме) документов, указанных в объявлении о проведении отбора, предусмотренных </w:t>
            </w:r>
            <w:r>
              <w:rPr>
                <w:sz w:val="26"/>
                <w:szCs w:val="26"/>
              </w:rPr>
            </w:r>
            <w:r>
              <w:rPr>
                <w:sz w:val="24"/>
                <w:szCs w:val="24"/>
              </w:rPr>
              <w:t xml:space="preserve">Порядком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/>
            <w:r>
              <w:rPr>
                <w:sz w:val="24"/>
                <w:szCs w:val="24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подача участником отбора заявки после даты и (или) времени, определенных для подачи заявок в объявлении о проведении отбора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наличие принятой и зарегистрированной заявки участника отбора, которая не была им отозвана, в случае подачи заявки лично на бумажном носителе и через ЦП МСП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0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неустранение оснований для приостановления приема и регистрации заявки при представлении документов и (или) непредставления пояснений в случае подачи заявки через ЦП МСП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Основаниями для приостановления приема и регистрации заявки на ЦП МСП являются: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непредставление (представление не в полном объеме) документов, указанных в пункте 10 Порядка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Порядком)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наличие нечитаемых исправлений в представленных документах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тказ в приеме и регистрации заявки или возврат заявки без рассмотрения (далее - аннулирование заявки) через ЦП МСП не препятствует повторному обращению участника отбора за предоставлением субсидии до даты окончания приема заявок, установленной объявлением </w:t>
            </w:r>
            <w:r>
              <w:rPr>
                <w:sz w:val="24"/>
                <w:szCs w:val="24"/>
              </w:rPr>
              <w:t xml:space="preserve">о проведении отбора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0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представляет документы и (или) пояснения, касающиеся сведений и данных, указанных в заявке, в срок не более 4 рабочих дней со дня направления Уведомления о представлении документов в личный кабинет участника отбора ЦП МСП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0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случае устранения участником отбора оснований для приостановления приема и регистрации заявки, установленных пунктом 14 Порядка, Управление регистрирует заявку в журнале регистрации не позднее 1 рабочего дня со дня представления участником отбо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 дополнительных документов и (или) пояснений, касающихся сведений и данных, указанных в заявке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0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случае неустранения участником отбора оснований для приостановления приема и регистрации заявки, установленных пунктом 14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Порядка, Управление отказывает в приеме и регистрации заявки на ЦП МСП не позднее 1 рабочего дня со дня представления учас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тником отбора дополнительных документов и (или) пояснений, касающихся сведений и данных, указанных в заявке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00"/>
              <w:pBdr/>
              <w:spacing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непредставления участником отбора документов и (или) пояснений, касающихся сведений и данных, указанных в заявке, в срок, установленный настоящим пунктом Порядка, заявка аннулируется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>
          <w:trHeight w:val="3312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right="116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118" w:left="109"/>
              <w:rPr>
                <w:sz w:val="24"/>
              </w:rPr>
            </w:pPr>
            <w:r>
              <w:rPr>
                <w:sz w:val="24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firstLine="554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объявления, но не позднее 5 рабочих дней до дня окончания срока 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заявок.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место нахождения: </w:t>
            </w:r>
            <w:r>
              <w:rPr>
                <w:sz w:val="24"/>
              </w:rPr>
              <w:t xml:space="preserve">г. Липецк, ул. Кузнечная, д. 8, каб. 206.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 xml:space="preserve">+7 (4742) </w:t>
            </w:r>
            <w:r>
              <w:rPr>
                <w:sz w:val="24"/>
              </w:rPr>
              <w:t xml:space="preserve">22-09-19, 23-10-27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эл. почта: </w:t>
            </w:r>
            <w:r>
              <w:rPr>
                <w:rStyle w:val="904"/>
                <w:sz w:val="24"/>
                <w:lang w:val="en-US"/>
              </w:rPr>
              <w:t xml:space="preserve">BuhalovaVP</w:t>
            </w:r>
            <w:r>
              <w:rPr>
                <w:rStyle w:val="904"/>
                <w:sz w:val="24"/>
              </w:rPr>
              <w:t xml:space="preserve">@admlr.lipetsk.ru</w:t>
            </w:r>
            <w:r>
              <w:rPr>
                <w:rStyle w:val="904"/>
              </w:rPr>
              <w:t xml:space="preserve">,</w:t>
            </w:r>
            <w:r>
              <w:rPr>
                <w:sz w:val="24"/>
              </w:rPr>
              <w:t xml:space="preserve"> </w:t>
            </w:r>
            <w:hyperlink r:id="rId12" w:tooltip="mailto:ed@admlr.lipetsk.ru" w:history="1">
              <w:r>
                <w:rPr>
                  <w:rStyle w:val="904"/>
                  <w:sz w:val="24"/>
                </w:rPr>
                <w:t xml:space="preserve">ed@admlr.lipetsk.ru</w:t>
              </w:r>
            </w:hyperlink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70" w:lineRule="atLeast"/>
              <w:ind w:right="57" w:firstLine="554" w:left="57"/>
              <w:jc w:val="both"/>
              <w:rPr>
                <w:sz w:val="24"/>
                <w:highlight w:val="lightGray"/>
              </w:rPr>
            </w:pPr>
            <w:r>
              <w:rPr>
                <w:sz w:val="24"/>
              </w:rPr>
              <w:t xml:space="preserve">В случае письменного обращения Управление направляет разъяснения участнику отбора по вопросам, связанным с положениями объявления о проведении отбора, в течение 3 рабочих дней.</w: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</w:p>
        </w:tc>
      </w:tr>
      <w:tr>
        <w:trPr>
          <w:trHeight w:val="137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right="116" w:left="0"/>
              <w:jc w:val="righ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14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152" w:left="109"/>
              <w:rPr>
                <w:sz w:val="24"/>
              </w:rPr>
            </w:pPr>
            <w:r>
              <w:rPr>
                <w:sz w:val="24"/>
              </w:rPr>
              <w:t xml:space="preserve">Срок, в течение которого победители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/>
              <w:ind w:right="811" w:left="109"/>
              <w:rPr>
                <w:sz w:val="24"/>
              </w:rPr>
            </w:pPr>
            <w:r>
              <w:rPr>
                <w:sz w:val="24"/>
              </w:rPr>
              <w:t xml:space="preserve">должны подписать соглашение 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предоставлении субсидии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57" w:firstLine="554" w:left="5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В течение 5 рабочих дней со дня, следующего за днем размещения на официальном сайте приказа об утверждении перечня получателей субсидии, уполномоченное лицо направляет получателю субсидии уведомление о необходимости заключения соглашения о предоставлении су</w:t>
            </w:r>
            <w:r>
              <w:rPr>
                <w:sz w:val="24"/>
              </w:rPr>
              <w:t xml:space="preserve">бсидий (далее - соглашение) в течение 3 рабочих дней со дня, следующего за днем получения уведомления, или в случае отказа в предоставлении субсидии направляет участнику отбора соответствующее уведомление с указанием причин отказа.</w:t>
            </w:r>
            <w:r>
              <w:rPr>
                <w:sz w:val="24"/>
              </w:rPr>
            </w:r>
            <w:r>
              <w:rPr>
                <w:sz w:val="24"/>
                <w:highlight w:val="lightGray"/>
              </w:rPr>
            </w:r>
          </w:p>
          <w:p>
            <w:pPr>
              <w:pStyle w:val="899"/>
              <w:pBdr/>
              <w:spacing/>
              <w:ind w:right="57" w:firstLine="554" w:left="57"/>
              <w:jc w:val="both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  <w:t xml:space="preserve">Управление заключает с получателями субсидии соглашения о предоставлении субсидии в день их обращения, в соответствии с типовой формой, установленной управлением финансов Липецкой области.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</w:tr>
      <w:tr>
        <w:trPr>
          <w:trHeight w:val="1380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right="116" w:left="0"/>
              <w:jc w:val="righ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15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/>
              <w:ind w:right="90" w:left="109"/>
              <w:rPr>
                <w:sz w:val="24"/>
              </w:rPr>
            </w:pPr>
            <w:r>
              <w:rPr>
                <w:sz w:val="24"/>
              </w:rPr>
              <w:t xml:space="preserve">Условия признания победителей отбора уклонившимися от заключения соглашения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субсидии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/>
              <w:ind w:right="100" w:firstLine="5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Победители отбора признаются уклонившимися от заключения соглашения о предоставлении субсидии в случае неявки его для подписания соглашения в течение 3 рабочих дней со дня, следующего за днем получения уведомления 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6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необходимости подписания соглашения.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right="116" w:left="0"/>
              <w:jc w:val="righ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16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Дата размещения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результатов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99"/>
              <w:pBdr/>
              <w:spacing w:line="265" w:lineRule="exact"/>
              <w:ind w:left="74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 xml:space="preserve">10  рабочих</w:t>
            </w:r>
            <w:r>
              <w:rPr>
                <w:sz w:val="24"/>
              </w:rPr>
              <w:t xml:space="preserve"> дней со дня, следующего за днем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окончания срока подачи заявок, указанного в п. 2 объявления.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9"/>
              <w:pBdr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right="0" w:firstLine="850" w:left="467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к объявлению о проведении отбора получателей субсидии субъектам малого и среднего предпринимательства в целях возмещения сати затрат, связанных с оплатой услуг торговых площадок по продажам товаров в информационно-телекоммуникационной сети «Интернет»</w:t>
      </w:r>
      <w:r>
        <w:rPr>
          <w:sz w:val="26"/>
          <w:szCs w:val="26"/>
        </w:rPr>
      </w:r>
    </w:p>
    <w:p>
      <w:pPr>
        <w:pStyle w:val="900"/>
        <w:numPr>
          <w:ilvl w:val="0"/>
          <w:numId w:val="0"/>
        </w:numPr>
        <w:pBdr/>
        <w:spacing w:after="0" w:before="0"/>
        <w:ind/>
        <w:contextualSpacing w:val="true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00"/>
        <w:numPr>
          <w:ilvl w:val="0"/>
          <w:numId w:val="0"/>
        </w:numPr>
        <w:pBdr/>
        <w:spacing w:after="0" w:before="0"/>
        <w:ind/>
        <w:contextualSpacing w:val="true"/>
        <w:jc w:val="right"/>
        <w:outlineLvl w:val="1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1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rFonts w:eastAsia="Times New Roman" w:cs="Times New Roman"/>
          <w:sz w:val="26"/>
          <w:szCs w:val="26"/>
        </w:rPr>
        <w:t xml:space="preserve">к </w:t>
      </w:r>
      <w:r>
        <w:rPr>
          <w:sz w:val="22"/>
          <w:szCs w:val="22"/>
        </w:rPr>
        <w:t xml:space="preserve">Порядку предоставления субсидий субъектам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малого и среднего предпринимательства в целях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возмещения части затрат, связанных с оплатой услуг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торговых площадок по продажам товаров в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информационно-телекоммуникационной сети «Интернет»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0"/>
        <w:pBdr/>
        <w:spacing w:after="1" w:before="0"/>
        <w:ind/>
        <w:contextualSpacing w:val="tru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3"/>
        <w:pBdr/>
        <w:tabs>
          <w:tab w:val="clear" w:leader="none" w:pos="708"/>
          <w:tab w:val="left" w:leader="none" w:pos="9639"/>
        </w:tabs>
        <w:spacing w:after="0" w:before="0"/>
        <w:ind/>
        <w:contextualSpacing w:val="true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tabs>
          <w:tab w:val="clear" w:leader="none" w:pos="708"/>
          <w:tab w:val="left" w:leader="none" w:pos="9639"/>
        </w:tabs>
        <w:spacing w:after="0" w:before="0"/>
        <w:ind/>
        <w:contextualSpacing w:val="true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tabs>
          <w:tab w:val="clear" w:leader="none" w:pos="708"/>
          <w:tab w:val="left" w:leader="none" w:pos="9639"/>
        </w:tabs>
        <w:spacing w:after="0" w:before="0"/>
        <w:ind/>
        <w:contextualSpacing w:val="true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tabs>
          <w:tab w:val="clear" w:leader="none" w:pos="708"/>
          <w:tab w:val="left" w:leader="none" w:pos="9639"/>
        </w:tabs>
        <w:spacing w:after="0" w:before="0"/>
        <w:ind/>
        <w:contextualSpacing w:val="true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Липецкая область      "__" __________ 20__ г.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Регистрационный номер № 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Дата регистрации заявки "__" ______ 20__ г.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/>
      <w:bookmarkStart w:id="10" w:name="P175"/>
      <w:r/>
      <w:bookmarkEnd w:id="10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ЗАЯВКА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(наименование юридического лица или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фамилия, имя, отчество (при наличии) индивидуального предпринимателя)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center"/>
        <w:rPr>
          <w:highlight w:val="white"/>
        </w:rPr>
      </w:pPr>
      <w:r>
        <w:rPr>
          <w:rFonts w:cs="Times New Roman"/>
          <w:highlight w:val="white"/>
        </w:rPr>
        <w:t xml:space="preserve">направляю заявку на получение субсиди</w:t>
      </w:r>
      <w:r>
        <w:rPr>
          <w:rFonts w:eastAsia="Times New Roman" w:cs="Times New Roman"/>
          <w:highlight w:val="white"/>
        </w:rPr>
        <w:t xml:space="preserve">й</w:t>
      </w:r>
      <w:r>
        <w:rPr>
          <w:rFonts w:cs="Times New Roman"/>
          <w:highlight w:val="white"/>
        </w:rPr>
        <w:t xml:space="preserve"> малого и среднего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«Интернет»</w:t>
      </w:r>
      <w:r>
        <w:rPr>
          <w:highlight w:val="white"/>
        </w:rPr>
      </w:r>
      <w:r>
        <w:rPr>
          <w:highlight w:val="white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 Общие сведения об участнике отбора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9843" w:type="dxa"/>
        <w:tblInd w:w="0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6"/>
        <w:gridCol w:w="6806"/>
        <w:gridCol w:w="241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сведений об участнике отбора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Сведения об участнике отбора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Ф.И.О. руководителя юридического лица (индивидуального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Код основного вида экономической деятельности по </w:t>
            </w:r>
            <w:hyperlink r:id="rId13" w:tooltip="consultantplus://offline/ref=2F257769403FB1D68461A9CC7D9036DDE900F7B0B0A1A4CC3A60FA3A650209F2E45C637D89B545257904F4599A53O1N" w:history="1">
              <w:r>
                <w:rPr>
                  <w:rStyle w:val="904"/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указанием код </w:t>
            </w:r>
            <w:hyperlink r:id="rId14" w:tooltip="consultantplus://offline/ref=2F257769403FB1D68461A9CC7D9036DDE900F7B0B0A1A4CC3A60FA3A650209F2E45C637D89B545257904F4599A53O1N" w:history="1">
              <w:r>
                <w:rPr>
                  <w:rStyle w:val="904"/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Местонахождение/почтовый адрес или адрес регистрации по месту жительства (индивидуального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Юридический адрес (индекс, город, улица, номер дома)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Численность сотрудников (при наличии сотрудников на дату подачи заявки на получение субсидии)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12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регистрации ИП/ ООО на территории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Ф.И.О., должность ответственного исполнителя по сопровождению работы на торговых площадках по продажам товаров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Телефон, факс, e-mail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Банковские реквизиты для перечисления субсидий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Сумма затрат, произведенных в году, предшествующем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текущему финансовому году, и текущем финансовом году на предоставление комиссии и тарифов маркетплейсам за услуги (за исключением рекламы и фотоуслуг), связанные с реализацией товаров на маркетплейсах, а также затрат на комиссию маркетплейсов за размещение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затраты на комиссию маркетплейсов за размещение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Сумма запрашиваемой субсидии (в размере 50% затрат, произведенных в году, предшествующем текущему финансовому году, и текущем финансовом году на пред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оставление комиссии и тарифов маркетплейсам за услуги (за исключением рекламы и фотоуслуг), связанные с реализацией товаров на маркетплейсах, а также затрат на комиссию маркетплейсов за размещение, но не более 500 000,00 руб. на одного получателя субсидии)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затраты на комиссию маркетплейсов за размещение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pStyle w:val="900"/>
              <w:pBdr/>
              <w:spacing w:after="0" w:before="0"/>
              <w:ind/>
              <w:contextualSpacing w:val="tru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2.  С условиями использования субсидии получатель субсидии ознакомлен и подтверждает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 не  является  иностранным  юридическим  лицом,  в  том  числе местом регистрации  которого  является  государство  или  территория, включенные в утвержденный   Министерством   финансов   Российской   Федерации   перечень государств   и  территорий,  испо</w:t>
      </w:r>
      <w:r>
        <w:rPr>
          <w:rFonts w:ascii="Times New Roman" w:hAnsi="Times New Roman" w:cs="Times New Roman"/>
          <w:sz w:val="26"/>
          <w:szCs w:val="26"/>
        </w:rPr>
        <w:t xml:space="preserve">л</w:t>
      </w:r>
      <w:r>
        <w:rPr>
          <w:rFonts w:ascii="Times New Roman" w:hAnsi="Times New Roman" w:cs="Times New Roman"/>
          <w:sz w:val="26"/>
          <w:szCs w:val="26"/>
        </w:rPr>
        <w:t xml:space="preserve">ьзуемых  для  промежуточного  (офшорного) владения  активами  в  Российской  Федерации (далее - офшорные компании), а также  российским  юридическим  лицом,  в  уставном  (складочном)  капитале которого  доля  прямого или косвенного (через третьих лиц) уча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тия офшорных компаний  в совокупности превышает 25 процентов (если иное не предусмотрено законодательством  Российской Федерации). При расчете доли участия офшорных компаний  в  капитале  российских  юридических  лиц не учитывается прямое и (или)  косвенно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участие офшорных компаний в капитале публичных акционерных обществ  (в  том  числе  со статусом международной компании), акции которых обращаются  на  организованных  торгах  в  Российской  Федерации,  а  также косвенное   участие   офшорных   компаний   </w:t>
      </w:r>
      <w:r>
        <w:rPr>
          <w:rFonts w:ascii="Times New Roman" w:hAnsi="Times New Roman" w:cs="Times New Roman"/>
          <w:sz w:val="26"/>
          <w:szCs w:val="26"/>
        </w:rPr>
        <w:t xml:space="preserve">в  капитале  других 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  не   находится  в  составляемых  в  рамках  реализации  полномочий, предусмотренных  главой  VII  Устава  ООН,  Советом  Безопасности  ООН  или органами, специально созданными решениями Совета Безопасности ООН, перечнях организаций и физических лиц, свя</w:t>
      </w:r>
      <w:r>
        <w:rPr>
          <w:rFonts w:ascii="Times New Roman" w:hAnsi="Times New Roman" w:cs="Times New Roman"/>
          <w:sz w:val="26"/>
          <w:szCs w:val="26"/>
        </w:rPr>
        <w:t xml:space="preserve">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 не получает и не получал ранее средства из бюджета Липецкой области на основании иных нормативных правовых актов на возмещение  части  затрат,  связанных  с  оплатой  услуг торговых площадок  по  продажам  товаров  в  информационно-телекоммуникационной с</w:t>
      </w:r>
      <w:r>
        <w:rPr>
          <w:rFonts w:ascii="Times New Roman" w:hAnsi="Times New Roman" w:cs="Times New Roman"/>
          <w:sz w:val="26"/>
          <w:szCs w:val="26"/>
        </w:rPr>
        <w:t xml:space="preserve">ети «Интернет»;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  не является иностранным агентом в соответствии с Федеральным законом от 14 июля 2022 года №255-ФЗ «О  контроле  за  деятельностью  лиц,  находящихся под иностранным влиянием»;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  юридическое лицо,  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получателя субсидии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на да</w:t>
      </w:r>
      <w:r>
        <w:rPr>
          <w:rFonts w:ascii="Times New Roman" w:hAnsi="Times New Roman" w:cs="Times New Roman"/>
          <w:sz w:val="26"/>
          <w:szCs w:val="26"/>
        </w:rPr>
        <w:t xml:space="preserve">ту подачи заявки;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на дату подачи заявки;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-  отсутствует иная просроченная (не урегулированная) задолженность по денежным обязательствам перед Липецкой областью.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огласен  на осуществление проверки управлением экономического развития Липецкой  области  соблюдения  порядка и условий предоставления субсидии, в том  числе  в  части достижения результата предоставления субсидии, а также проверки  органами  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го финансового контроля в соответствии со статьями  268.1  и  269.2  Бюджетного  кодекса  Российской  Федерации  и на включение   таких   положений   в   соглашение.  Ознакомлен  с  положениями Федерального  закона от 27 июля 2006 года № 152-ФЗ «О персонал</w:t>
      </w:r>
      <w:r>
        <w:rPr>
          <w:rFonts w:ascii="Times New Roman" w:hAnsi="Times New Roman" w:cs="Times New Roman"/>
          <w:sz w:val="26"/>
          <w:szCs w:val="26"/>
        </w:rPr>
        <w:t xml:space="preserve">ьных данных», права и обязанности в области защиты персональных данных разъяснены.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 Обязуется осуществлять  предпринимательскую деятельность в течение не менее 3 лет со дня поступления субсидии на его расчетный счет;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сохранить не менее 90 процентов численности сотрудников в течение 36 месяцев со дня поступления субсидии на его расчетный счет (при наличии сотрудников на дату подачи заявки на получение субсидии).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 соответствии  со  статьей 9 Федерального закона от 27 июля 2006 года №  152-ФЗ  «О  персональных  данных»  дает  добровольное согласие управлению экономического  развития  Липецкой области на обработку, то есть совершение действий,  предусмотренных часть</w:t>
      </w:r>
      <w:r>
        <w:rPr>
          <w:rFonts w:ascii="Times New Roman" w:hAnsi="Times New Roman" w:cs="Times New Roman"/>
          <w:sz w:val="26"/>
          <w:szCs w:val="26"/>
        </w:rPr>
        <w:t xml:space="preserve">ю 3 статьи 3 Федерального закона от 27 июля 2006  года  №  152-ФЗ  «О  персональных  данных», его персональных данных, указанных в представленных документах и необходимых для предоставления субсидии.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 Настоящее  согласие действует с даты подписания и в течение всего срока предоставления указанной субсидии.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/>
      </w:pPr>
      <w:r>
        <w:rPr>
          <w:rFonts w:ascii="Times New Roman" w:hAnsi="Times New Roman" w:cs="Times New Roman"/>
          <w:sz w:val="26"/>
          <w:szCs w:val="26"/>
        </w:rPr>
        <w:t xml:space="preserve">В  соответствии с частью 2 статьи 9 Федерального закона от 27 июля 2006 года  №  152-ФЗ  «О  персональных  данных»  настоящее согласие на обработку персональных данных может быть отозвано в письменной форме.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0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Дает  добровольное  согласие  на  публикацию  (размещение) информации на едином  портале  и  на  сайте  Управления об участнике отбора, о подаваемой участником отбора заявке и иной информации об участнике отбора, связанной с отбором.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03"/>
        <w:pBdr/>
        <w:spacing w:after="0" w:before="0"/>
        <w:ind w:firstLine="567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 результатах отбора и заключении соглашения в случае подачи заявки на бумажном носителе прошу уведомить следующим образом: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Руководитель участника отбора ______________________________   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(должность)          (подпись)         (Ф.И.О. полностью)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Главный бухгалтер участника отбора _____________         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(подпись)                     (Ф.И.О. полностью)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М.П. "_____" _____________ 20__ г.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</w:t>
      </w:r>
      <w:r>
        <w:rPr>
          <w:rFonts w:ascii="Times New Roman" w:hAnsi="Times New Roman" w:cs="Times New Roman"/>
          <w:highlight w:val="white"/>
        </w:rPr>
        <w:t xml:space="preserve">    </w:t>
      </w:r>
      <w:r>
        <w:rPr>
          <w:rFonts w:ascii="Times New Roman" w:hAnsi="Times New Roman" w:cs="Times New Roman"/>
          <w:highlight w:val="white"/>
        </w:rPr>
        <w:t xml:space="preserve">(при наличии)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</w:t>
      </w:r>
      <w:r>
        <w:rPr>
          <w:rFonts w:ascii="Times New Roman" w:hAnsi="Times New Roman" w:cs="Times New Roman"/>
          <w:highlight w:val="white"/>
        </w:rPr>
        <w:t xml:space="preserve">   </w:t>
      </w:r>
      <w:r>
        <w:rPr>
          <w:rFonts w:ascii="Times New Roman" w:hAnsi="Times New Roman" w:cs="Times New Roman"/>
          <w:highlight w:val="white"/>
        </w:rPr>
        <w:t xml:space="preserve">(линия отреза)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pBdr/>
        <w:tabs>
          <w:tab w:val="clear" w:leader="none" w:pos="708"/>
          <w:tab w:val="left" w:leader="none" w:pos="8108"/>
        </w:tabs>
        <w:spacing w:after="0" w:before="0"/>
        <w:ind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Заявка  и прилагаемые к ней документы на ___ листах приняты должностным лицом   управления    экономического   развития   Липецкой   области   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Управление)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________________________________________________________________________________(Ф.И.О. должностного лица Управления полностью)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"__" ___________ 20__ г.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</w:t>
      </w:r>
      <w:r>
        <w:rPr>
          <w:rFonts w:ascii="Times New Roman" w:hAnsi="Times New Roman" w:cs="Times New Roman"/>
          <w:highlight w:val="white"/>
        </w:rPr>
        <w:t xml:space="preserve">    </w:t>
      </w:r>
      <w:r>
        <w:rPr>
          <w:rFonts w:ascii="Times New Roman" w:hAnsi="Times New Roman" w:cs="Times New Roman"/>
          <w:highlight w:val="white"/>
        </w:rPr>
        <w:t xml:space="preserve">(подпись должностного лица Управления)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0" w:firstLine="850" w:left="467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</w:t>
      </w:r>
      <w:r>
        <w:rPr>
          <w:sz w:val="26"/>
          <w:szCs w:val="26"/>
        </w:rPr>
        <w:t xml:space="preserve">ние 2 к объявлению о проведении отбора получателей субсидии субъектам малого и среднего предпринимательства в целях возмещения сати затрат, связанных с оплатой услуг торговых площадок по продажам товаров в информационно-телекоммуникационной сети «Интернет»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 w:after="0" w:before="0"/>
        <w:ind/>
        <w:contextualSpacing w:val="tru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rFonts w:eastAsia="Times New Roman" w:cs="Times New Roman"/>
          <w:sz w:val="26"/>
          <w:szCs w:val="26"/>
        </w:rPr>
        <w:t xml:space="preserve">к </w:t>
      </w:r>
      <w:r>
        <w:rPr>
          <w:sz w:val="22"/>
          <w:szCs w:val="22"/>
        </w:rPr>
        <w:t xml:space="preserve">Порядку предоставления субсидий субъектам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малого и среднего предпринимательства в целях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возмещения части затрат, связанных с оплатой услуг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торговых площадок по продажам товаров в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информационно-телекоммуникационной сети «Интернет»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17"/>
        <w:pBdr/>
        <w:tabs>
          <w:tab w:val="left" w:leader="none" w:pos="142"/>
          <w:tab w:val="clear" w:leader="none" w:pos="708"/>
        </w:tabs>
        <w:spacing w:after="0" w:before="0"/>
        <w:ind/>
        <w:contextualSpacing w:val="true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0"/>
        <w:pBdr/>
        <w:spacing w:after="0" w:before="0"/>
        <w:ind/>
        <w:contextualSpacing w:val="true"/>
        <w:jc w:val="center"/>
        <w:rPr>
          <w:rFonts w:ascii="Times New Roman" w:hAnsi="Times New Roman" w:cs="Times New Roman"/>
          <w:color w:val="000000"/>
          <w:sz w:val="20"/>
        </w:rPr>
      </w:pPr>
      <w: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Реестр заявленных расходов на логистику</w:t>
      </w:r>
      <w:r>
        <w:rPr>
          <w:rFonts w:ascii="Times New Roman" w:hAnsi="Times New Roman" w:cs="Times New Roman"/>
          <w:color w:val="000000"/>
          <w:sz w:val="20"/>
        </w:rPr>
      </w:r>
      <w:r>
        <w:rPr>
          <w:rFonts w:ascii="Times New Roman" w:hAnsi="Times New Roman" w:cs="Times New Roman"/>
          <w:color w:val="000000"/>
          <w:sz w:val="20"/>
        </w:rPr>
      </w:r>
    </w:p>
    <w:p>
      <w:pPr>
        <w:pStyle w:val="900"/>
        <w:pBdr/>
        <w:spacing w:after="0" w:before="0"/>
        <w:ind/>
        <w:contextualSpacing w:val="true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таблица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W w:w="10080" w:type="dxa"/>
        <w:tblInd w:w="9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1"/>
        <w:gridCol w:w="1278"/>
        <w:gridCol w:w="1704"/>
        <w:gridCol w:w="1416"/>
        <w:gridCol w:w="1278"/>
        <w:gridCol w:w="1276"/>
        <w:gridCol w:w="1276"/>
        <w:gridCol w:w="1269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vMerge w:val="restart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Акта/ отчета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restart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УПД /счет-фактура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515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Сумма расходов на логистику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717"/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717"/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всего расходы на логистику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099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 т.ч. в разрезе видов расходов (укать в зависимости от ЭТП)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717"/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717"/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pPr>
              <w:pStyle w:val="717"/>
              <w:pBdr/>
              <w:spacing/>
              <w:ind/>
              <w:rPr/>
            </w:pPr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 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3" w:type="dxa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ИТОГО: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717"/>
              <w:pBdr/>
              <w:spacing w:after="0" w:before="0"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717"/>
        <w:pBdr/>
        <w:tabs>
          <w:tab w:val="clear" w:leader="none" w:pos="708"/>
          <w:tab w:val="left" w:leader="none" w:pos="3915"/>
        </w:tabs>
        <w:spacing w:after="0" w:before="0"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Руководитель участника отбора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</w:t>
      </w:r>
      <w:r>
        <w:rPr>
          <w:rFonts w:ascii="Times New Roman" w:hAnsi="Times New Roman" w:eastAsia="Times New Roman" w:cs="Times New Roman"/>
        </w:rPr>
        <w:t xml:space="preserve">_______________   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</w:t>
      </w:r>
      <w:r>
        <w:rPr>
          <w:rFonts w:ascii="Times New Roman" w:hAnsi="Times New Roman" w:eastAsia="Times New Roman" w:cs="Times New Roman"/>
        </w:rPr>
        <w:t xml:space="preserve">(подпись)                (Ф.И.О. полностью)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</w:t>
      </w:r>
      <w:r>
        <w:rPr>
          <w:rFonts w:ascii="Times New Roman" w:hAnsi="Times New Roman" w:eastAsia="Times New Roman" w:cs="Times New Roman"/>
        </w:rPr>
        <w:t xml:space="preserve">М.П. (при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3"/>
        <w:pBdr/>
        <w:spacing w:after="0" w:before="0"/>
        <w:ind/>
        <w:contextualSpacing w:val="true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"__" _____________ 20__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0"/>
        <w:pBdr/>
        <w:spacing w:after="0" w:before="120"/>
        <w:ind w:firstLine="709"/>
        <w:contextualSpacing w:val="true"/>
        <w:rPr>
          <w:rFonts w:ascii="Times New Roman" w:hAnsi="Times New Roman" w:cs="Times New Roman"/>
          <w:color w:val="000000"/>
          <w:sz w:val="26"/>
          <w:szCs w:val="26"/>
          <w:highlight w:val="lightGray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lightGray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lightGray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lightGray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40" w:orient="portrait" w:w="11910"/>
      <w:pgMar w:top="482" w:right="567" w:bottom="278" w:left="1276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140" w:left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0" w:left="13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0" w:left="236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0" w:left="341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0" w:left="446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0" w:left="551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0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0" w:left="761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0" w:left="8665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1110" w:left="172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9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1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3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5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7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9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1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34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862" w:left="1523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2066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2612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3158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370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425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79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5343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889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ascii="Calibri" w:hAnsi="Calibri" w:eastAsia="Times New Roman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en-US" w:bidi="ar-SA"/>
      </w:rPr>
      <w:start w:val="2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272" w:left="107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72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72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72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72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72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72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72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72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36" w:left="107"/>
      </w:pPr>
      <w:rPr>
        <w:rFonts w:hint="default" w:ascii="Times New Roman" w:hAnsi="Times New Roman" w:eastAsia="Times New Roman" w:cs="Times New Roman"/>
        <w:spacing w:val="-26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36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36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36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36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36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36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36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36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260" w:left="1008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0" w:left="159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0" w:left="219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0" w:left="279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0" w:left="339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0" w:left="399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0" w:left="458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0" w:left="518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0" w:left="5785"/>
      </w:pPr>
      <w:rPr>
        <w:rFonts w:hint="default"/>
        <w:lang w:val="ru-RU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159" w:left="10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9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9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9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9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9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9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9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9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."/>
      <w:numFmt w:val="upperRoman"/>
      <w:pPr>
        <w:pBdr/>
        <w:spacing/>
        <w:ind w:hanging="720" w:left="3556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9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46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53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0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7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5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82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956"/>
      </w:pPr>
      <w:rPr/>
      <w:start w:val="1"/>
      <w:suff w:val="tab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Intense Emphasis"/>
    <w:basedOn w:val="72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3">
    <w:name w:val="Intense Reference"/>
    <w:basedOn w:val="72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4">
    <w:name w:val="Subtle Emphasis"/>
    <w:basedOn w:val="72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5">
    <w:name w:val="Emphasis"/>
    <w:basedOn w:val="727"/>
    <w:uiPriority w:val="20"/>
    <w:qFormat/>
    <w:pPr>
      <w:pBdr/>
      <w:spacing/>
      <w:ind/>
    </w:pPr>
    <w:rPr>
      <w:i/>
      <w:iCs/>
    </w:rPr>
  </w:style>
  <w:style w:type="character" w:styleId="696">
    <w:name w:val="Strong"/>
    <w:basedOn w:val="727"/>
    <w:uiPriority w:val="22"/>
    <w:qFormat/>
    <w:pPr>
      <w:pBdr/>
      <w:spacing/>
      <w:ind/>
    </w:pPr>
    <w:rPr>
      <w:b/>
      <w:bCs/>
    </w:rPr>
  </w:style>
  <w:style w:type="character" w:styleId="697">
    <w:name w:val="Subtle Reference"/>
    <w:basedOn w:val="72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8">
    <w:name w:val="Book Title"/>
    <w:basedOn w:val="72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9">
    <w:name w:val="FollowedHyperlink"/>
    <w:basedOn w:val="72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00">
    <w:name w:val="Heading 1 Char"/>
    <w:basedOn w:val="727"/>
    <w:link w:val="7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7"/>
    <w:link w:val="71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2">
    <w:name w:val="Heading 3 Char"/>
    <w:basedOn w:val="727"/>
    <w:link w:val="72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7"/>
    <w:link w:val="7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7"/>
    <w:link w:val="7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7"/>
    <w:link w:val="7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7"/>
    <w:link w:val="72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7"/>
    <w:link w:val="72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7"/>
    <w:link w:val="72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7"/>
    <w:link w:val="740"/>
    <w:uiPriority w:val="10"/>
    <w:pPr>
      <w:pBdr/>
      <w:spacing/>
      <w:ind/>
    </w:pPr>
    <w:rPr>
      <w:sz w:val="48"/>
      <w:szCs w:val="48"/>
    </w:rPr>
  </w:style>
  <w:style w:type="character" w:styleId="710">
    <w:name w:val="Subtitle Char"/>
    <w:basedOn w:val="727"/>
    <w:link w:val="742"/>
    <w:uiPriority w:val="11"/>
    <w:pPr>
      <w:pBdr/>
      <w:spacing/>
      <w:ind/>
    </w:pPr>
    <w:rPr>
      <w:sz w:val="24"/>
      <w:szCs w:val="24"/>
    </w:rPr>
  </w:style>
  <w:style w:type="character" w:styleId="711">
    <w:name w:val="Quote Char"/>
    <w:link w:val="744"/>
    <w:uiPriority w:val="29"/>
    <w:pPr>
      <w:pBdr/>
      <w:spacing/>
      <w:ind/>
    </w:pPr>
    <w:rPr>
      <w:i/>
    </w:rPr>
  </w:style>
  <w:style w:type="character" w:styleId="712">
    <w:name w:val="Intense Quote Char"/>
    <w:link w:val="746"/>
    <w:uiPriority w:val="30"/>
    <w:pPr>
      <w:pBdr/>
      <w:spacing/>
      <w:ind/>
    </w:pPr>
    <w:rPr>
      <w:i/>
    </w:rPr>
  </w:style>
  <w:style w:type="character" w:styleId="713">
    <w:name w:val="Header Char"/>
    <w:basedOn w:val="727"/>
    <w:link w:val="748"/>
    <w:uiPriority w:val="99"/>
    <w:pPr>
      <w:pBdr/>
      <w:spacing/>
      <w:ind/>
    </w:pPr>
  </w:style>
  <w:style w:type="character" w:styleId="714">
    <w:name w:val="Caption Char"/>
    <w:basedOn w:val="752"/>
    <w:link w:val="750"/>
    <w:uiPriority w:val="99"/>
    <w:pPr>
      <w:pBdr/>
      <w:spacing/>
      <w:ind/>
    </w:pPr>
  </w:style>
  <w:style w:type="character" w:styleId="715">
    <w:name w:val="Footnote Text Char"/>
    <w:link w:val="879"/>
    <w:uiPriority w:val="99"/>
    <w:pPr>
      <w:pBdr/>
      <w:spacing/>
      <w:ind/>
    </w:pPr>
    <w:rPr>
      <w:sz w:val="18"/>
    </w:rPr>
  </w:style>
  <w:style w:type="character" w:styleId="716">
    <w:name w:val="Endnote Text Char"/>
    <w:link w:val="882"/>
    <w:uiPriority w:val="99"/>
    <w:pPr>
      <w:pBdr/>
      <w:spacing/>
      <w:ind/>
    </w:pPr>
    <w:rPr>
      <w:sz w:val="20"/>
    </w:rPr>
  </w:style>
  <w:style w:type="paragraph" w:styleId="717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718">
    <w:name w:val="Heading 1"/>
    <w:basedOn w:val="717"/>
    <w:link w:val="730"/>
    <w:uiPriority w:val="1"/>
    <w:qFormat/>
    <w:pPr>
      <w:pBdr/>
      <w:spacing w:before="89"/>
      <w:ind w:right="591"/>
      <w:jc w:val="right"/>
      <w:outlineLvl w:val="0"/>
    </w:pPr>
    <w:rPr>
      <w:sz w:val="26"/>
      <w:szCs w:val="26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  <w:pPr>
      <w:pBdr/>
      <w:spacing/>
      <w:ind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9" w:default="1">
    <w:name w:val="No List"/>
    <w:uiPriority w:val="99"/>
    <w:semiHidden/>
    <w:unhideWhenUsed/>
    <w:pPr>
      <w:pBdr/>
      <w:spacing/>
      <w:ind/>
    </w:pPr>
  </w:style>
  <w:style w:type="character" w:styleId="730" w:customStyle="1">
    <w:name w:val="Заголовок 1 Знак"/>
    <w:basedOn w:val="727"/>
    <w:link w:val="7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pBdr/>
      <w:spacing/>
      <w:ind/>
    </w:pPr>
  </w:style>
  <w:style w:type="paragraph" w:styleId="740">
    <w:name w:val="Title"/>
    <w:basedOn w:val="717"/>
    <w:next w:val="717"/>
    <w:link w:val="74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1" w:customStyle="1">
    <w:name w:val="Заголовок Знак"/>
    <w:basedOn w:val="727"/>
    <w:link w:val="740"/>
    <w:uiPriority w:val="10"/>
    <w:pPr>
      <w:pBdr/>
      <w:spacing/>
      <w:ind/>
    </w:pPr>
    <w:rPr>
      <w:sz w:val="48"/>
      <w:szCs w:val="48"/>
    </w:rPr>
  </w:style>
  <w:style w:type="paragraph" w:styleId="742">
    <w:name w:val="Subtitle"/>
    <w:basedOn w:val="717"/>
    <w:next w:val="717"/>
    <w:link w:val="74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3" w:customStyle="1">
    <w:name w:val="Подзаголовок Знак"/>
    <w:basedOn w:val="727"/>
    <w:link w:val="742"/>
    <w:uiPriority w:val="11"/>
    <w:pPr>
      <w:pBdr/>
      <w:spacing/>
      <w:ind/>
    </w:pPr>
    <w:rPr>
      <w:sz w:val="24"/>
      <w:szCs w:val="24"/>
    </w:rPr>
  </w:style>
  <w:style w:type="paragraph" w:styleId="744">
    <w:name w:val="Quote"/>
    <w:basedOn w:val="717"/>
    <w:next w:val="717"/>
    <w:link w:val="745"/>
    <w:uiPriority w:val="29"/>
    <w:qFormat/>
    <w:pPr>
      <w:pBdr/>
      <w:spacing/>
      <w:ind w:right="720" w:left="720"/>
    </w:pPr>
    <w:rPr>
      <w:i/>
    </w:rPr>
  </w:style>
  <w:style w:type="character" w:styleId="745" w:customStyle="1">
    <w:name w:val="Цитата 2 Знак"/>
    <w:link w:val="744"/>
    <w:uiPriority w:val="29"/>
    <w:pPr>
      <w:pBdr/>
      <w:spacing/>
      <w:ind/>
    </w:pPr>
    <w:rPr>
      <w:i/>
    </w:rPr>
  </w:style>
  <w:style w:type="paragraph" w:styleId="746">
    <w:name w:val="Intense Quote"/>
    <w:basedOn w:val="717"/>
    <w:next w:val="717"/>
    <w:link w:val="74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7" w:customStyle="1">
    <w:name w:val="Выделенная цитата Знак"/>
    <w:link w:val="746"/>
    <w:uiPriority w:val="30"/>
    <w:pPr>
      <w:pBdr/>
      <w:spacing/>
      <w:ind/>
    </w:pPr>
    <w:rPr>
      <w:i/>
    </w:rPr>
  </w:style>
  <w:style w:type="paragraph" w:styleId="748">
    <w:name w:val="Header"/>
    <w:basedOn w:val="717"/>
    <w:link w:val="74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49" w:customStyle="1">
    <w:name w:val="Верхний колонтитул Знак"/>
    <w:basedOn w:val="727"/>
    <w:link w:val="748"/>
    <w:uiPriority w:val="99"/>
    <w:pPr>
      <w:pBdr/>
      <w:spacing/>
      <w:ind/>
    </w:pPr>
  </w:style>
  <w:style w:type="paragraph" w:styleId="750">
    <w:name w:val="Footer"/>
    <w:basedOn w:val="717"/>
    <w:link w:val="753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Footer Char"/>
    <w:basedOn w:val="727"/>
    <w:uiPriority w:val="99"/>
    <w:pPr>
      <w:pBdr/>
      <w:spacing/>
      <w:ind/>
    </w:pPr>
  </w:style>
  <w:style w:type="paragraph" w:styleId="752">
    <w:name w:val="Caption"/>
    <w:basedOn w:val="717"/>
    <w:next w:val="7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3" w:customStyle="1">
    <w:name w:val="Нижний колонтитул Знак"/>
    <w:link w:val="750"/>
    <w:uiPriority w:val="99"/>
    <w:pPr>
      <w:pBdr/>
      <w:spacing/>
      <w:ind/>
    </w:pPr>
  </w:style>
  <w:style w:type="table" w:styleId="754" w:customStyle="1">
    <w:name w:val="Table Grid Light"/>
    <w:basedOn w:val="72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basedOn w:val="72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basedOn w:val="728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basedOn w:val="728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basedOn w:val="72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basedOn w:val="72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basedOn w:val="728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basedOn w:val="72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basedOn w:val="72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9">
    <w:name w:val="footnote text"/>
    <w:basedOn w:val="717"/>
    <w:link w:val="880"/>
    <w:uiPriority w:val="99"/>
    <w:semiHidden/>
    <w:unhideWhenUsed/>
    <w:pPr>
      <w:pBdr/>
      <w:spacing w:after="40"/>
      <w:ind/>
    </w:pPr>
    <w:rPr>
      <w:sz w:val="18"/>
    </w:rPr>
  </w:style>
  <w:style w:type="character" w:styleId="880" w:customStyle="1">
    <w:name w:val="Текст сноски Знак"/>
    <w:link w:val="879"/>
    <w:uiPriority w:val="99"/>
    <w:pPr>
      <w:pBdr/>
      <w:spacing/>
      <w:ind/>
    </w:pPr>
    <w:rPr>
      <w:sz w:val="18"/>
    </w:rPr>
  </w:style>
  <w:style w:type="character" w:styleId="881">
    <w:name w:val="footnote reference"/>
    <w:basedOn w:val="727"/>
    <w:uiPriority w:val="99"/>
    <w:unhideWhenUsed/>
    <w:pPr>
      <w:pBdr/>
      <w:spacing/>
      <w:ind/>
    </w:pPr>
    <w:rPr>
      <w:vertAlign w:val="superscript"/>
    </w:rPr>
  </w:style>
  <w:style w:type="paragraph" w:styleId="882">
    <w:name w:val="endnote text"/>
    <w:basedOn w:val="717"/>
    <w:link w:val="883"/>
    <w:uiPriority w:val="99"/>
    <w:semiHidden/>
    <w:unhideWhenUsed/>
    <w:pPr>
      <w:pBdr/>
      <w:spacing/>
      <w:ind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pPr>
      <w:pBdr/>
      <w:spacing/>
      <w:ind/>
    </w:pPr>
    <w:rPr>
      <w:sz w:val="20"/>
    </w:rPr>
  </w:style>
  <w:style w:type="character" w:styleId="884">
    <w:name w:val="endnote reference"/>
    <w:basedOn w:val="727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toc 1"/>
    <w:basedOn w:val="717"/>
    <w:next w:val="717"/>
    <w:uiPriority w:val="39"/>
    <w:unhideWhenUsed/>
    <w:pPr>
      <w:pBdr/>
      <w:spacing w:after="57"/>
      <w:ind/>
    </w:pPr>
  </w:style>
  <w:style w:type="paragraph" w:styleId="886">
    <w:name w:val="toc 2"/>
    <w:basedOn w:val="717"/>
    <w:next w:val="717"/>
    <w:uiPriority w:val="39"/>
    <w:unhideWhenUsed/>
    <w:pPr>
      <w:pBdr/>
      <w:spacing w:after="57"/>
      <w:ind w:left="283"/>
    </w:pPr>
  </w:style>
  <w:style w:type="paragraph" w:styleId="887">
    <w:name w:val="toc 3"/>
    <w:basedOn w:val="717"/>
    <w:next w:val="717"/>
    <w:uiPriority w:val="39"/>
    <w:unhideWhenUsed/>
    <w:pPr>
      <w:pBdr/>
      <w:spacing w:after="57"/>
      <w:ind w:left="567"/>
    </w:pPr>
  </w:style>
  <w:style w:type="paragraph" w:styleId="888">
    <w:name w:val="toc 4"/>
    <w:basedOn w:val="717"/>
    <w:next w:val="717"/>
    <w:uiPriority w:val="39"/>
    <w:unhideWhenUsed/>
    <w:pPr>
      <w:pBdr/>
      <w:spacing w:after="57"/>
      <w:ind w:left="850"/>
    </w:pPr>
  </w:style>
  <w:style w:type="paragraph" w:styleId="889">
    <w:name w:val="toc 5"/>
    <w:basedOn w:val="717"/>
    <w:next w:val="717"/>
    <w:uiPriority w:val="39"/>
    <w:unhideWhenUsed/>
    <w:pPr>
      <w:pBdr/>
      <w:spacing w:after="57"/>
      <w:ind w:left="1134"/>
    </w:pPr>
  </w:style>
  <w:style w:type="paragraph" w:styleId="890">
    <w:name w:val="toc 6"/>
    <w:basedOn w:val="717"/>
    <w:next w:val="717"/>
    <w:uiPriority w:val="39"/>
    <w:unhideWhenUsed/>
    <w:pPr>
      <w:pBdr/>
      <w:spacing w:after="57"/>
      <w:ind w:left="1417"/>
    </w:pPr>
  </w:style>
  <w:style w:type="paragraph" w:styleId="891">
    <w:name w:val="toc 7"/>
    <w:basedOn w:val="717"/>
    <w:next w:val="717"/>
    <w:uiPriority w:val="39"/>
    <w:unhideWhenUsed/>
    <w:pPr>
      <w:pBdr/>
      <w:spacing w:after="57"/>
      <w:ind w:left="1701"/>
    </w:pPr>
  </w:style>
  <w:style w:type="paragraph" w:styleId="892">
    <w:name w:val="toc 8"/>
    <w:basedOn w:val="717"/>
    <w:next w:val="717"/>
    <w:uiPriority w:val="39"/>
    <w:unhideWhenUsed/>
    <w:pPr>
      <w:pBdr/>
      <w:spacing w:after="57"/>
      <w:ind w:left="1984"/>
    </w:pPr>
  </w:style>
  <w:style w:type="paragraph" w:styleId="893">
    <w:name w:val="toc 9"/>
    <w:basedOn w:val="717"/>
    <w:next w:val="717"/>
    <w:uiPriority w:val="39"/>
    <w:unhideWhenUsed/>
    <w:pPr>
      <w:pBdr/>
      <w:spacing w:after="57"/>
      <w:ind w:left="2268"/>
    </w:p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717"/>
    <w:next w:val="717"/>
    <w:uiPriority w:val="99"/>
    <w:unhideWhenUsed/>
    <w:pPr>
      <w:pBdr/>
      <w:spacing/>
      <w:ind/>
    </w:pPr>
  </w:style>
  <w:style w:type="table" w:styleId="89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Body Text"/>
    <w:basedOn w:val="717"/>
    <w:uiPriority w:val="1"/>
    <w:qFormat/>
    <w:pPr>
      <w:pBdr/>
      <w:spacing/>
      <w:ind/>
    </w:pPr>
    <w:rPr>
      <w:sz w:val="24"/>
      <w:szCs w:val="24"/>
    </w:rPr>
  </w:style>
  <w:style w:type="paragraph" w:styleId="898">
    <w:name w:val="List Paragraph"/>
    <w:basedOn w:val="717"/>
    <w:uiPriority w:val="99"/>
    <w:qFormat/>
    <w:pPr>
      <w:pBdr/>
      <w:spacing/>
      <w:ind w:left="252"/>
      <w:jc w:val="both"/>
    </w:pPr>
  </w:style>
  <w:style w:type="paragraph" w:styleId="899" w:customStyle="1">
    <w:name w:val="Table Paragraph"/>
    <w:basedOn w:val="717"/>
    <w:uiPriority w:val="1"/>
    <w:qFormat/>
    <w:pPr>
      <w:pBdr/>
      <w:spacing/>
      <w:ind w:left="107"/>
    </w:pPr>
  </w:style>
  <w:style w:type="paragraph" w:styleId="900" w:customStyle="1">
    <w:name w:val="ConsPlusNormal"/>
    <w:pPr>
      <w:pBdr/>
      <w:spacing/>
      <w:ind/>
    </w:pPr>
    <w:rPr>
      <w:rFonts w:ascii="Calibri" w:hAnsi="Calibri" w:eastAsia="Times New Roman" w:cs="Calibri"/>
      <w:szCs w:val="20"/>
      <w:lang w:val="ru-RU" w:eastAsia="ru-RU"/>
    </w:rPr>
  </w:style>
  <w:style w:type="paragraph" w:styleId="901">
    <w:name w:val="HTML Preformatted"/>
    <w:basedOn w:val="717"/>
    <w:link w:val="902"/>
    <w:uiPriority w:val="99"/>
    <w:semiHidden/>
    <w:unhideWhenUsed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Calibri"/>
      <w:sz w:val="20"/>
      <w:szCs w:val="20"/>
      <w:lang w:eastAsia="ru-RU"/>
    </w:rPr>
  </w:style>
  <w:style w:type="character" w:styleId="902" w:customStyle="1">
    <w:name w:val="Стандартный HTML Знак"/>
    <w:basedOn w:val="727"/>
    <w:link w:val="901"/>
    <w:uiPriority w:val="99"/>
    <w:semiHidden/>
    <w:pPr>
      <w:pBdr/>
      <w:spacing/>
      <w:ind/>
    </w:pPr>
    <w:rPr>
      <w:rFonts w:ascii="Courier New" w:hAnsi="Courier New" w:eastAsia="Calibri" w:cs="Times New Roman"/>
      <w:sz w:val="20"/>
      <w:szCs w:val="20"/>
      <w:lang w:val="ru-RU" w:eastAsia="ru-RU"/>
    </w:rPr>
  </w:style>
  <w:style w:type="paragraph" w:styleId="903" w:customStyle="1">
    <w:name w:val="ConsPlusNonformat"/>
    <w:pPr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904">
    <w:name w:val="Hyperlink"/>
    <w:basedOn w:val="727"/>
    <w:uiPriority w:val="99"/>
    <w:unhideWhenUsed/>
    <w:pPr>
      <w:pBdr/>
      <w:spacing/>
      <w:ind/>
    </w:pPr>
    <w:rPr>
      <w:color w:val="0000ff"/>
      <w:u w:val="single"/>
    </w:rPr>
  </w:style>
  <w:style w:type="character" w:styleId="905" w:customStyle="1">
    <w:name w:val="allowtextselection"/>
    <w:basedOn w:val="727"/>
    <w:pPr>
      <w:pBdr/>
      <w:spacing/>
      <w:ind/>
    </w:pPr>
  </w:style>
  <w:style w:type="paragraph" w:styleId="906" w:customStyle="1">
    <w:name w:val="ConsPlusTitle"/>
    <w:pPr>
      <w:pBdr/>
      <w:spacing/>
      <w:ind/>
    </w:pPr>
    <w:rPr>
      <w:rFonts w:ascii="Calibri" w:hAnsi="Calibri" w:eastAsia="Times New Roman" w:cs="Calibri"/>
      <w:b/>
      <w:szCs w:val="20"/>
      <w:lang w:val="ru-RU" w:eastAsia="ru-RU"/>
    </w:rPr>
  </w:style>
  <w:style w:type="table" w:styleId="907">
    <w:name w:val="Table Grid"/>
    <w:basedOn w:val="728"/>
    <w:uiPriority w:val="99"/>
    <w:pPr>
      <w:widowControl w:val="true"/>
      <w:pBdr/>
      <w:spacing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8">
    <w:name w:val="Balloon Text"/>
    <w:basedOn w:val="717"/>
    <w:link w:val="909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727"/>
    <w:link w:val="908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document" TargetMode="External"/><Relationship Id="rId11" Type="http://schemas.openxmlformats.org/officeDocument/2006/relationships/hyperlink" Target="consultantplus://offline/ref=EC960D7D8A82FC3CEF7DFBADB9422B96B371E64B6502E2B1869636D035D9FC60EA6F00945E70E8BE7D787A2A27o05CN" TargetMode="External"/><Relationship Id="rId12" Type="http://schemas.openxmlformats.org/officeDocument/2006/relationships/hyperlink" Target="mailto:ed@admlr.lipetsk.ru" TargetMode="External"/><Relationship Id="rId13" Type="http://schemas.openxmlformats.org/officeDocument/2006/relationships/hyperlink" Target="consultantplus://offline/ref=2F257769403FB1D68461A9CC7D9036DDE900F7B0B0A1A4CC3A60FA3A650209F2E45C637D89B545257904F4599A53O1N" TargetMode="External"/><Relationship Id="rId14" Type="http://schemas.openxmlformats.org/officeDocument/2006/relationships/hyperlink" Target="consultantplus://offline/ref=2F257769403FB1D68461A9CC7D9036DDE900F7B0B0A1A4CC3A60FA3A650209F2E45C637D89B545257904F4599A53O1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2A56-FBC4-4EC2-9DBD-442E12A7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myravyeva</dc:creator>
  <cp:revision>17</cp:revision>
  <dcterms:created xsi:type="dcterms:W3CDTF">2023-10-04T08:27:00Z</dcterms:created>
  <dcterms:modified xsi:type="dcterms:W3CDTF">2024-10-10T12:19:26Z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2022-07-07T00:00:00Z</vt:filetime>
  </property>
</Properties>
</file>