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программа</w:t>
      </w:r>
      <w:r>
        <w:rPr>
          <w:b/>
          <w:sz w:val="36"/>
          <w:szCs w:val="36"/>
        </w:rPr>
        <w:t xml:space="preserve"> </w:t>
      </w:r>
      <w:r/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</w:t>
      </w:r>
      <w:bookmarkStart w:id="0" w:name="_GoBack"/>
      <w:r>
        <w:rPr>
          <w:b/>
          <w:sz w:val="36"/>
          <w:szCs w:val="36"/>
        </w:rPr>
        <w:t xml:space="preserve">Создание условий для развития экономики Краснинского муниципального района </w:t>
      </w:r>
      <w:r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Липецкой  области</w:t>
      </w:r>
      <w:bookmarkEnd w:id="0"/>
      <w:r>
        <w:rPr>
          <w:b/>
          <w:sz w:val="36"/>
          <w:szCs w:val="36"/>
        </w:rPr>
        <w:t xml:space="preserve">»                                    </w:t>
      </w:r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</w:t>
      </w:r>
      <w:r>
        <w:rPr>
          <w:rFonts w:cs="Times New Roman"/>
          <w:i/>
          <w:sz w:val="24"/>
          <w:szCs w:val="24"/>
        </w:rPr>
        <w:t xml:space="preserve">у</w:t>
      </w:r>
      <w:r>
        <w:rPr>
          <w:rFonts w:cs="Times New Roman"/>
          <w:i/>
          <w:sz w:val="24"/>
          <w:szCs w:val="24"/>
        </w:rPr>
        <w:t xml:space="preserve">тверждена</w:t>
      </w:r>
      <w:r>
        <w:rPr>
          <w:rFonts w:cs="Times New Roman"/>
          <w:i/>
          <w:sz w:val="24"/>
          <w:szCs w:val="24"/>
        </w:rPr>
        <w:t xml:space="preserve">  постановлени</w:t>
      </w:r>
      <w:r>
        <w:rPr>
          <w:rFonts w:cs="Times New Roman"/>
          <w:i/>
          <w:sz w:val="24"/>
          <w:szCs w:val="24"/>
        </w:rPr>
        <w:t xml:space="preserve">ем администрации Краснинского муниципального района Липецкой области от 30.09.2013 № 552 «Об утверждении муниципальной программы Краснинского муниципального района «Создание условий для развития экономики Краснинского муниципального района Липецкой области</w:t>
      </w:r>
      <w:r>
        <w:rPr>
          <w:rFonts w:cs="Times New Roman"/>
          <w:i/>
          <w:color w:val="000000"/>
          <w:sz w:val="24"/>
          <w:szCs w:val="24"/>
        </w:rPr>
        <w:t xml:space="preserve">» </w:t>
      </w:r>
      <w:r>
        <w:rPr>
          <w:i/>
          <w:sz w:val="24"/>
          <w:szCs w:val="24"/>
        </w:rPr>
        <w:tab/>
      </w:r>
      <w:r>
        <w:rPr>
          <w:rFonts w:cs="Times New Roman"/>
          <w:i/>
          <w:color w:val="000000"/>
          <w:sz w:val="24"/>
          <w:szCs w:val="24"/>
        </w:rPr>
        <w:t xml:space="preserve">в редакции  постановлений администрации Краснинского муниципального района Липецкой </w:t>
      </w:r>
      <w:r>
        <w:rPr>
          <w:rFonts w:cs="Times New Roman"/>
          <w:i/>
          <w:sz w:val="24"/>
          <w:szCs w:val="24"/>
        </w:rPr>
        <w:t xml:space="preserve">обл. от 21.04.2014 </w:t>
      </w:r>
      <w:hyperlink r:id="rId9" w:tooltip="consultantplus://offline/ref=0A4845331B370A31A6D807CE77B1754F796CABD3339A2CA9B3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239</w:t>
        </w:r>
      </w:hyperlink>
      <w:r>
        <w:rPr>
          <w:rFonts w:cs="Times New Roman"/>
          <w:i/>
          <w:sz w:val="24"/>
          <w:szCs w:val="24"/>
        </w:rPr>
        <w:t xml:space="preserve">, от 30.12.2014 </w:t>
      </w:r>
      <w:hyperlink r:id="rId10" w:tooltip="consultantplus://offline/ref=0A4845331B370A31A6D807CE77B1754F796CABD3329F21A9B1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709</w:t>
        </w:r>
      </w:hyperlink>
      <w:r>
        <w:rPr>
          <w:rFonts w:cs="Times New Roman"/>
          <w:i/>
          <w:sz w:val="24"/>
          <w:szCs w:val="24"/>
        </w:rPr>
        <w:t xml:space="preserve">, от 29.06.2015 </w:t>
      </w:r>
      <w:hyperlink r:id="rId11" w:tooltip="consultantplus://offline/ref=0A4845331B370A31A6D807CE77B1754F796CABD332972BA5B1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283</w:t>
        </w:r>
      </w:hyperlink>
      <w:r>
        <w:rPr>
          <w:rFonts w:cs="Times New Roman"/>
          <w:i/>
          <w:sz w:val="24"/>
          <w:szCs w:val="24"/>
        </w:rPr>
        <w:t xml:space="preserve">, от 31.03.2016 </w:t>
      </w:r>
      <w:hyperlink r:id="rId12" w:tooltip="consultantplus://offline/ref=0A4845331B370A31A6D807CE77B1754F796CABD33D9E28A1B7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114</w:t>
        </w:r>
      </w:hyperlink>
      <w:r>
        <w:rPr>
          <w:rFonts w:cs="Times New Roman"/>
          <w:i/>
          <w:sz w:val="24"/>
          <w:szCs w:val="24"/>
        </w:rPr>
        <w:t xml:space="preserve"> (ред. 27.05.2016), от 24.06.2016 </w:t>
      </w:r>
      <w:hyperlink r:id="rId13" w:tooltip="consultantplus://offline/ref=0A4845331B370A31A6D807CE77B1754F796CABD332962DA1B2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272</w:t>
        </w:r>
      </w:hyperlink>
      <w:r>
        <w:rPr>
          <w:rFonts w:cs="Times New Roman"/>
          <w:i/>
          <w:sz w:val="24"/>
          <w:szCs w:val="24"/>
        </w:rPr>
        <w:t xml:space="preserve">, от 24.08.2016 </w:t>
      </w:r>
      <w:hyperlink r:id="rId14" w:tooltip="consultantplus://offline/ref=0A4845331B370A31A6D807CE77B1754F796CABD33D9F2CA0B6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370</w:t>
        </w:r>
      </w:hyperlink>
      <w:r>
        <w:rPr>
          <w:rFonts w:cs="Times New Roman"/>
          <w:i/>
          <w:sz w:val="24"/>
          <w:szCs w:val="24"/>
        </w:rPr>
        <w:t xml:space="preserve">, от 13.02.2017 </w:t>
      </w:r>
      <w:hyperlink r:id="rId15" w:tooltip="consultantplus://offline/ref=0A4845331B370A31A6D807CE77B1754F796CABD33D9A2FA5B3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 69</w:t>
        </w:r>
      </w:hyperlink>
      <w:r>
        <w:rPr>
          <w:rFonts w:cs="Times New Roman"/>
          <w:i/>
          <w:sz w:val="24"/>
          <w:szCs w:val="24"/>
        </w:rPr>
        <w:t xml:space="preserve">, от 04.05.2017 </w:t>
      </w:r>
      <w:hyperlink r:id="rId16" w:tooltip="consultantplus://offline/ref=0A4845331B370A31A6D807CE77B1754F796CABD33C9E29A3B7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 294</w:t>
        </w:r>
      </w:hyperlink>
      <w:r>
        <w:rPr>
          <w:rFonts w:cs="Times New Roman"/>
          <w:i/>
          <w:sz w:val="24"/>
          <w:szCs w:val="24"/>
        </w:rPr>
        <w:t xml:space="preserve">, от 28.12.2017 </w:t>
      </w:r>
      <w:hyperlink r:id="rId17" w:tooltip="consultantplus://offline/ref=0A4845331B370A31A6D807CE77B1754F796CABD33C9E2BA9B1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 948</w:t>
        </w:r>
      </w:hyperlink>
      <w:r>
        <w:rPr>
          <w:rFonts w:cs="Times New Roman"/>
          <w:i/>
          <w:sz w:val="24"/>
          <w:szCs w:val="24"/>
        </w:rPr>
        <w:t xml:space="preserve">, от 13.06.2018 </w:t>
      </w:r>
      <w:hyperlink r:id="rId18" w:tooltip="consultantplus://offline/ref=0A4845331B370A31A6D807CE77B1754F796CABD33C9C29A0B1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290</w:t>
        </w:r>
      </w:hyperlink>
      <w:r>
        <w:rPr>
          <w:rFonts w:cs="Times New Roman"/>
          <w:i/>
          <w:sz w:val="24"/>
          <w:szCs w:val="24"/>
        </w:rPr>
        <w:t xml:space="preserve">, от 24.10.2018 </w:t>
      </w:r>
      <w:hyperlink r:id="rId19" w:tooltip="consultantplus://offline/ref=0A4845331B370A31A6D807CE77B1754F796CABD33C9A20A6B5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531</w:t>
        </w:r>
      </w:hyperlink>
      <w:r>
        <w:rPr>
          <w:rFonts w:cs="Times New Roman"/>
          <w:i/>
          <w:sz w:val="24"/>
          <w:szCs w:val="24"/>
        </w:rPr>
        <w:t xml:space="preserve">, от 28.12.2018 </w:t>
      </w:r>
      <w:hyperlink r:id="rId20" w:tooltip="consultantplus://offline/ref=0A4845331B370A31A6D807CE77B1754F796CABD33C9720A2B103D9807FFBBB8211197C54408CDBFC554F0591D9E10D2350F510BA4B3D401F20861B19e4O" w:history="1">
        <w:r>
          <w:rPr>
            <w:rFonts w:cs="Times New Roman"/>
            <w:i/>
            <w:sz w:val="24"/>
            <w:szCs w:val="24"/>
          </w:rPr>
          <w:t xml:space="preserve">№ 644</w:t>
        </w:r>
      </w:hyperlink>
      <w:r>
        <w:rPr>
          <w:rFonts w:cs="Times New Roman"/>
          <w:i/>
          <w:sz w:val="24"/>
          <w:szCs w:val="24"/>
        </w:rPr>
        <w:t xml:space="preserve">, от 17.10.2019 № 517, от 18.10.2019 г. № 527, от 18.11.2019 г. № 586, от 20.11.2019 г. № 595, от 31.12.2019 г. № 680, от 07.04.2020 г. № 150, от 12.11.2020 г. № 503, от 17.12.2020 г. </w:t>
      </w:r>
      <w:r>
        <w:rPr>
          <w:rFonts w:cs="Times New Roman"/>
          <w:i/>
          <w:sz w:val="24"/>
          <w:szCs w:val="24"/>
        </w:rPr>
        <w:t xml:space="preserve">                  </w:t>
      </w:r>
      <w:r>
        <w:rPr>
          <w:rFonts w:cs="Times New Roman"/>
          <w:i/>
          <w:sz w:val="24"/>
          <w:szCs w:val="24"/>
        </w:rPr>
        <w:t xml:space="preserve">№ 580</w:t>
      </w:r>
      <w:r>
        <w:rPr>
          <w:rFonts w:cs="Times New Roman"/>
          <w:i/>
          <w:sz w:val="24"/>
          <w:szCs w:val="24"/>
        </w:rPr>
        <w:t xml:space="preserve">, от 30.12.2020 г. № 624)</w:t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  <w:r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31 декабря 2020 года</w:t>
      </w:r>
      <w:r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center"/>
        <w:spacing w:after="200" w:line="276" w:lineRule="auto"/>
        <w:widowControl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ПАСПОРТ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Краснинского</w:t>
      </w:r>
      <w:r>
        <w:rPr>
          <w:b/>
          <w:sz w:val="28"/>
          <w:szCs w:val="28"/>
        </w:rPr>
        <w:t xml:space="preserve"> муниципального района "Создание условий для развития экономики </w:t>
      </w:r>
      <w:r>
        <w:rPr>
          <w:b/>
          <w:sz w:val="28"/>
          <w:szCs w:val="28"/>
        </w:rPr>
        <w:t xml:space="preserve">Краснинского</w:t>
      </w:r>
      <w:r/>
    </w:p>
    <w:p>
      <w:pPr>
        <w:pStyle w:val="6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Липецкой области"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0410" w:type="dxa"/>
        <w:tblInd w:w="-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323"/>
        <w:gridCol w:w="7087"/>
      </w:tblGrid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трудовых отношений администрации </w:t>
            </w:r>
            <w:r>
              <w:rPr>
                <w:sz w:val="24"/>
                <w:szCs w:val="24"/>
              </w:rPr>
              <w:t xml:space="preserve">Краснинского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муниципальной программы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2014 - 2024 годы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"</w:t>
            </w:r>
            <w:hyperlink w:tooltip="#P1211" w:anchor="P1211" w:history="1">
              <w:r>
                <w:rPr>
                  <w:sz w:val="24"/>
                  <w:szCs w:val="24"/>
                </w:rPr>
                <w:t xml:space="preserve">Развитие малого и среднего предпринимательства</w:t>
              </w:r>
            </w:hyperlink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Краснинском</w:t>
            </w:r>
            <w:r>
              <w:rPr>
                <w:sz w:val="24"/>
                <w:szCs w:val="24"/>
              </w:rPr>
              <w:t xml:space="preserve"> муниципальном районе Липецкой области на 2014 - 2024 годы";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"</w:t>
            </w:r>
            <w:hyperlink w:tooltip="#P1408" w:anchor="P1408" w:history="1">
              <w:r>
                <w:rPr>
                  <w:sz w:val="24"/>
                  <w:szCs w:val="24"/>
                </w:rPr>
                <w:t xml:space="preserve">Повышение качества торгового и бытового обслуживания</w:t>
              </w:r>
            </w:hyperlink>
            <w:r>
              <w:rPr>
                <w:sz w:val="24"/>
                <w:szCs w:val="24"/>
              </w:rPr>
              <w:t xml:space="preserve"> сельского населения </w:t>
            </w:r>
            <w:r>
              <w:rPr>
                <w:sz w:val="24"/>
                <w:szCs w:val="24"/>
              </w:rPr>
              <w:t xml:space="preserve">Краснинского</w:t>
            </w:r>
            <w:r>
              <w:rPr>
                <w:sz w:val="24"/>
                <w:szCs w:val="24"/>
              </w:rPr>
              <w:t xml:space="preserve"> муниципального района Липецкой области на 2014 - 2024 годы"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экономического потенциала района, стимулирование экономической активности бизнеса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Индикаторы цели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темп роста инвестиций в основной капитал (по полному кругу предприятий</w:t>
            </w:r>
            <w:r>
              <w:rPr>
                <w:sz w:val="24"/>
                <w:szCs w:val="24"/>
              </w:rPr>
              <w:t xml:space="preserve">), %;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темп роста объема отгруженной продукции (товаров, работ, услуг</w:t>
            </w:r>
            <w:r>
              <w:rPr>
                <w:sz w:val="24"/>
                <w:szCs w:val="24"/>
              </w:rPr>
              <w:t xml:space="preserve">), %;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темп роста среднемесячной начисленной заработной платы, %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благоприятных условий для ведения предпринимательской деятельности и функционирования малых форм хозяйствования района.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Создание благоприятных условий для развития субъектов торговой деятельности и бытового обслуживания населения района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задач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1: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кооперативы, ед.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 задачи 1: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объем продукции, закупаемой (произведенной) сельскохозяйственными потребительскими кооперативами,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 задачи 1: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объем выданных займов сельскохозяйственными кредитными потребительскими кооперативами,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 задачи 1: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доля продукции, закупленной в личных подсобных хозяйствах, %.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объем проданных товаров на 1 жителя,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 задачи 2: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объем оказанных бытовых услуг на 1 жителя, тыс. руб.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за счет средств районного бюджета всего, в том числе по годам реализации муниципальной программы</w:t>
            </w:r>
            <w:r/>
          </w:p>
        </w:tc>
        <w:tc>
          <w:tcPr>
            <w:tcBorders>
              <w:bottom w:val="none" w:color="000000" w:sz="4" w:space="0"/>
            </w:tcBorders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расходов, связанных с реализацией мероприятий, финансируемых за счет средств районного бюджета, </w:t>
            </w:r>
            <w:r>
              <w:rPr>
                <w:sz w:val="24"/>
                <w:szCs w:val="24"/>
              </w:rPr>
              <w:t xml:space="preserve">прогнозно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составят 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3045,3</w:t>
            </w:r>
            <w:r>
              <w:rPr>
                <w:sz w:val="24"/>
                <w:szCs w:val="24"/>
              </w:rPr>
              <w:t xml:space="preserve"> тыс. руб., из них: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- 378,0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- 275,0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- 204,8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- 383,5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- 120,1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219,3 тыс. руб.</w:t>
            </w:r>
            <w:r/>
          </w:p>
          <w:p>
            <w:pPr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2020 год  - 159,5  тыс. руб. </w:t>
            </w:r>
            <w:r/>
          </w:p>
          <w:p>
            <w:pPr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2021 год -  210,0 тыс. руб.</w:t>
            </w:r>
            <w:r/>
          </w:p>
          <w:p>
            <w:pPr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2022 год –  210,0 тыс. руб.</w:t>
            </w:r>
            <w:r/>
          </w:p>
          <w:p>
            <w:pPr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2023 год –  210,0тыс. руб.</w:t>
            </w:r>
            <w:r/>
          </w:p>
          <w:p>
            <w:pPr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2024 год – 675,0 тыс. руб.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финансирования Подпро</w:t>
            </w:r>
            <w:r>
              <w:rPr>
                <w:sz w:val="24"/>
                <w:szCs w:val="24"/>
              </w:rPr>
              <w:t xml:space="preserve">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 </w:t>
            </w:r>
            <w:r/>
          </w:p>
        </w:tc>
      </w:tr>
      <w:tr>
        <w:trPr/>
        <w:tc>
          <w:tcPr>
            <w:tcW w:w="332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муниципальной программы</w:t>
            </w:r>
            <w:r/>
          </w:p>
        </w:tc>
        <w:tc>
          <w:tcPr>
            <w:tcW w:w="708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2024 году к базовому 2013 году: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прироста инвестиций в основной капитал на 24%;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прироста объема отгруженной продукции (товаров, работ, услуг) на 15%;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увеличения среднемесячной начисленной заработной платы на 38%</w:t>
            </w:r>
            <w:r/>
          </w:p>
        </w:tc>
      </w:tr>
    </w:tbl>
    <w:p>
      <w:pPr>
        <w:pStyle w:val="654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ТЕКСТОВАЯ ЧАСТЬ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экономики района.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позитивный характер экономического развития района. Прирост в промышленном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по полному кругу предп</w:t>
      </w:r>
      <w:r>
        <w:rPr>
          <w:rFonts w:ascii="Times New Roman" w:hAnsi="Times New Roman" w:cs="Times New Roman"/>
          <w:sz w:val="24"/>
          <w:szCs w:val="24"/>
        </w:rPr>
        <w:t xml:space="preserve">риятий в 2012 году составил 15%, в предприятиях сельского хозяйства - 5%, инвестиций в основной капитал - 47%, оборот розничной торговли - на 7%, объем бытовых услуг - на 11%. Заработная плата возросла на 23,5%. Рост наблюдается во всех отраслях экономики.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Стабилизировалась ситуация на рынке труда. Уровень безработицы в 2012 году снизился до 0,6%, или почти в 2 раза к уровню 2009 года. Создано 319 новых рабочих мест.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Инвестиции в основной капитал по всем видам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2012 году составили 950 млн. рублей, рост к 2011 году - 47%. Объем инвестиций в малый бизнес увеличился на 8% и составил 77 млн. рублей. От субъектов малого предпринимательства налоговые поступления в районный бюджет увеличились на 22% к уровню 2011 года.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основным источником экономического роста района является развитие малого и среднего предпринимательства. Поддержка малого бизнеса в прошлом году была значительно увеличена. Из всех источников финансирования на эти цели было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более 13 млн. рублей. За последние 4 года 50 молод</w:t>
      </w:r>
      <w:r>
        <w:rPr>
          <w:rFonts w:ascii="Times New Roman" w:hAnsi="Times New Roman" w:cs="Times New Roman"/>
          <w:sz w:val="24"/>
          <w:szCs w:val="24"/>
        </w:rPr>
        <w:t xml:space="preserve">ых предпринимателей воспользовались господдержкой на открытие собственного дела. Оказана поддержка безработным гражданам, открывшим собственный бизнес, 14 субъектов в 2012 году воспользовались льготными кредитами в областном фонде поддержки малого бизнеса.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развивается кооперация, положено начало развитию кредитной кооперации.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Потребительский спрос сохранил положительную динамику: оборот розничной торговли в 2012 году увеличился на 6% и составил 800 млн. рублей. На 1 жителя района продано товаров на 62 тыс. рублей с ростом к 2011 году на 17%.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динамично развивается бытовое обслуживание населения. На душу населения оказано услуг в сумме 1537 рублей с ростом к 2011 году на 13%.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трудоспособн</w:t>
      </w:r>
      <w:r>
        <w:rPr>
          <w:rFonts w:ascii="Times New Roman" w:hAnsi="Times New Roman" w:cs="Times New Roman"/>
          <w:sz w:val="24"/>
          <w:szCs w:val="24"/>
        </w:rPr>
        <w:t xml:space="preserve">ого возраста снижает возможности экстенсивного роста экономики. Поэтому ставится задача компенсировать этот дефицит за счет вовлечения в трудовую деятельность лиц старшего возраста, женщин, имеющих детей, молодежи. В этих целях необходимо продолжить интенс</w:t>
      </w:r>
      <w:r>
        <w:rPr>
          <w:rFonts w:ascii="Times New Roman" w:hAnsi="Times New Roman" w:cs="Times New Roman"/>
          <w:sz w:val="24"/>
          <w:szCs w:val="24"/>
        </w:rPr>
        <w:t xml:space="preserve">ивную работу по созданию рабочих мест в малом бизнесе, сфере потребительского рынка, кооперации. Также важным условием развития малого бизнеса и малых форм является устранение ограничений конкуренции, создание равных условий доступа ко всем видам ресурсов.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экономике района наблюдается ряд проблем, требующих решения, в их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сфере малого и среднего предпринимательства: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развитой ресурсной базе района практически отсутствуют субъекты малого и среднего бизнеса и кооперативы в перерабатывающей отрасли;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 развит малый бизнес в поселениях;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развития сельской кооперации и заготовительной деятельности не отвечает реальным потребностям личных подсобных хозяйств;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объемы организованных закупок остаются недостаточно высокими;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наблюдается пассивность населения в создании кооперативов.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сфере потребительского рынка: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высокая концентрация субъектов торговой деятельности и бытового обслуживания в районном центре при недостаточном обеспечении стационарными объектами потребительского рынка малочисленных и отдаленных сельских поселений.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эффективного решения названных проблем требуется реализация мероприятий муниципальной программы "Создание условий для развития экономики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2014 - 2024 годы" (далее - Программа).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2) Приоритеты муниципальной политики в сфере развития экономики района,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приоритеты муниципальной политики в сфере развития экономики района, повышения экономической активности бизнеса определены в Стратегии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 до 2024 года,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самозанятости</w:t>
      </w:r>
      <w:r>
        <w:rPr>
          <w:rFonts w:ascii="Times New Roman" w:hAnsi="Times New Roman" w:cs="Times New Roman"/>
          <w:sz w:val="24"/>
          <w:szCs w:val="24"/>
        </w:rPr>
        <w:t xml:space="preserve"> за счет развития малого бизнеса и кооперации, создание новых рабочих мест в сельской местности.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 Использование ресурсной базы района, в том числе продукции растениеводства, для развития перерабатывающих производств.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современного, отвечающего растущим потребностям населения потребительского рынка района. Обеспечение доступности услуг торговли и бытового обслуживания для всех жителей района, независимо от места проживания.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развития экономического потенциала района, стимулирования экономической активности бизнеса.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Индикаторы достижения цели: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 роста инвестиций в основной капитал (по полному кругу предприятий</w:t>
      </w:r>
      <w:r>
        <w:rPr>
          <w:rFonts w:ascii="Times New Roman" w:hAnsi="Times New Roman" w:cs="Times New Roman"/>
          <w:sz w:val="24"/>
          <w:szCs w:val="24"/>
        </w:rPr>
        <w:t xml:space="preserve">), %;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 роста объема отгруженной продукции (товаров,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), %;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 роста среднемесячной начисленной заработной платы.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необходимо решение следующих задач: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для ведения предпринимательской деятельности в районе.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развития субъектов торговой деятельности и бытового обслуживания населения района.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решения поставленных задач станет: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вновь зарегистрированных субъектов малого и среднего предпринимательства;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объема закупаемой (произведенной) продукции сельскохозяйственными потребительскими кооперативами;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объема выданных займов кредитными сельскохозяйственными потребительскими кооперативами;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доли продукции, закупленной в личных подсобных хозяйствах;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объема проданных товаров на 1 жителя;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объема оказанных бытовых услуг на душу населения;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3) Перечень подпрограмм, сведения о взаимосвязи результатов их выполнения с целевыми индикаторами муниципальной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поставленной цели и задач Программы реализуются две подпрограммы в сфере развития малого и среднего предпринимательства, потребительского рынка: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"</w:t>
      </w:r>
      <w:hyperlink w:tooltip="#P1211" w:anchor="P1211" w:history="1">
        <w:r>
          <w:rPr>
            <w:rFonts w:ascii="Times New Roman" w:hAnsi="Times New Roman" w:cs="Times New Roman"/>
            <w:sz w:val="24"/>
            <w:szCs w:val="24"/>
          </w:rPr>
          <w:t xml:space="preserve">Развитие малого и среднего предпринимательства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Краснинском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Липецкой области на 2014 - 2024 годы";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"</w:t>
      </w:r>
      <w:hyperlink w:tooltip="#P1408" w:anchor="P1408" w:history="1">
        <w:r>
          <w:rPr>
            <w:rFonts w:ascii="Times New Roman" w:hAnsi="Times New Roman" w:cs="Times New Roman"/>
            <w:sz w:val="24"/>
            <w:szCs w:val="24"/>
          </w:rPr>
          <w:t xml:space="preserve">Повышение качества торгового и бытового обслуживания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сельского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на 2014 - 2024 годы".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"</w:t>
      </w:r>
      <w:hyperlink w:tooltip="#P1211" w:anchor="P1211" w:history="1">
        <w:r>
          <w:rPr>
            <w:rFonts w:ascii="Times New Roman" w:hAnsi="Times New Roman" w:cs="Times New Roman"/>
            <w:sz w:val="24"/>
            <w:szCs w:val="24"/>
          </w:rPr>
          <w:t xml:space="preserve">Развитие малого и среднего предпринимательства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Краснинском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Липецкой области на 2014 - 2024 годы" направлена на создание благоприятных условий для ведения предпринимательской деятельности в районе посредством решения следующих задач: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-   повышение финансовой устойчивости, информационной обеспеченности субъектов малого и среднего предпринимательства;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- содействие занятости лиц </w:t>
      </w:r>
      <w:r>
        <w:rPr>
          <w:color w:val="252525"/>
          <w:sz w:val="24"/>
          <w:szCs w:val="24"/>
          <w:shd w:val="clear" w:color="auto" w:fill="ffffff"/>
        </w:rPr>
        <w:t xml:space="preserve">из числа людей, испытывающих трудности в поиске работы</w:t>
      </w:r>
      <w:r>
        <w:rPr>
          <w:color w:val="252525"/>
          <w:sz w:val="24"/>
          <w:szCs w:val="24"/>
          <w:shd w:val="clear" w:color="auto" w:fill="ffffff"/>
        </w:rPr>
        <w:t xml:space="preserve">;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содействие в организации эффективной практической деятельности сельскохозяйственным потребительским кооперативам, в том числе кредитным;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- 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"</w:t>
      </w:r>
      <w:hyperlink w:tooltip="#P1408" w:anchor="P1408" w:history="1">
        <w:r>
          <w:rPr>
            <w:rFonts w:ascii="Times New Roman" w:hAnsi="Times New Roman" w:cs="Times New Roman"/>
            <w:sz w:val="24"/>
            <w:szCs w:val="24"/>
          </w:rPr>
          <w:t xml:space="preserve">Повышение качества торгового и бытового обслуживания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сельского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</w:t>
      </w:r>
      <w:r>
        <w:rPr>
          <w:rFonts w:ascii="Times New Roman" w:hAnsi="Times New Roman" w:cs="Times New Roman"/>
          <w:sz w:val="24"/>
          <w:szCs w:val="24"/>
        </w:rPr>
        <w:t xml:space="preserve">области на 2014 - 2024 годы" направлена на создание благоприятных условий для развития субъектов торговой деятельности и бытового обслуживания района посредством решения задачи обеспечения условий для организации развозной торговли и бытового обслуживания.</w:t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 охватывают период 2014 - 2024 годов, без выделения этапов.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</w:t>
      </w:r>
      <w:r>
        <w:rPr>
          <w:rFonts w:ascii="Times New Roman" w:hAnsi="Times New Roman" w:cs="Times New Roman"/>
          <w:sz w:val="24"/>
          <w:szCs w:val="24"/>
        </w:rPr>
        <w:t xml:space="preserve">ии Программы является создание к 2024 году благоприятных условий для повышения конкурентоспособности экономики района, эффективное развитие субъектов малого и среднего предпринимательства, кооперативов, субъектов торговой деятельности и сферы обслуживания.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ожидаемым конечным результатам выполнения Программы в 2024 году относятся: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инвестиций в основной капитал на 24%;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объема отгруженной продукции (товаров, работ, услуг) на 15%;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среднемесячной начисленной заработной платы на 38%.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малого и среднего бизнеса, потребительского рынка.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/>
      <w:hyperlink w:tooltip="#P211" w:anchor="P211" w:history="1">
        <w:r>
          <w:rPr>
            <w:rFonts w:ascii="Times New Roman" w:hAnsi="Times New Roman" w:cs="Times New Roman"/>
            <w:sz w:val="24"/>
            <w:szCs w:val="24"/>
          </w:rPr>
          <w:t xml:space="preserve"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5) Краткое описание ресурсного обеспечения за счет бюджетных ассигнований по годам реализации муниципальной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</w:t>
      </w:r>
      <w:r>
        <w:rPr>
          <w:rFonts w:ascii="Times New Roman" w:hAnsi="Times New Roman" w:cs="Times New Roman"/>
          <w:sz w:val="24"/>
          <w:szCs w:val="24"/>
        </w:rPr>
        <w:t xml:space="preserve">ации Программы в 2014 - 2024 годах планируется осуществлять за счет бюджетных ассигнований бюджета муниципального района в пределах предусмотренных лимитов финансирования, а также средств федерального, областного бюджетов и средств внебюджетных источников </w:t>
      </w:r>
      <w:hyperlink w:tooltip="#P211" w:anchor="P211" w:history="1">
        <w:r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t xml:space="preserve">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весь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прогнозно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18013,28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hyperlink w:tooltip="#P1014" w:anchor="P1014" w:history="1">
        <w:r>
          <w:rPr>
            <w:rFonts w:ascii="Times New Roman" w:hAnsi="Times New Roman" w:cs="Times New Roman"/>
            <w:sz w:val="28"/>
            <w:szCs w:val="28"/>
          </w:rPr>
          <w:t xml:space="preserve">(приложение 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подпрограммы "</w:t>
      </w:r>
      <w:hyperlink w:tooltip="#P1211" w:anchor="P1211" w:history="1">
        <w:r>
          <w:rPr>
            <w:rFonts w:ascii="Times New Roman" w:hAnsi="Times New Roman" w:cs="Times New Roman"/>
            <w:sz w:val="28"/>
            <w:szCs w:val="28"/>
          </w:rPr>
          <w:t xml:space="preserve">Развитие малого и среднего предпринимательства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Краснинском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Липецкой области на 2014 - 2024 годы" - предположительно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11023,61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подпрограммы "</w:t>
      </w:r>
      <w:hyperlink w:tooltip="#P1408" w:anchor="P1408" w:history="1">
        <w:r>
          <w:rPr>
            <w:rFonts w:ascii="Times New Roman" w:hAnsi="Times New Roman" w:cs="Times New Roman"/>
            <w:sz w:val="28"/>
            <w:szCs w:val="28"/>
          </w:rPr>
          <w:t xml:space="preserve">Повышение качества торгового и бытового обслуживания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2014 - 2024 годы" - предположительно 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6989,67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6)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 с обобщ</w:t>
      </w:r>
      <w:r>
        <w:rPr>
          <w:rFonts w:ascii="Times New Roman" w:hAnsi="Times New Roman" w:cs="Times New Roman"/>
          <w:sz w:val="24"/>
          <w:szCs w:val="24"/>
        </w:rPr>
        <w:t xml:space="preserve">ением данной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предусмотрено использование мер муниципальной поддержки в соответствии с федеральным и региональным законодательством, муниципальными нормативными правовыми актами: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целях обеспечения доступа субъектов малого предпринимательства и иных субъектов хозяйственной деятельности к заемным ресурсам (задачи 1, 2, 3 муниципальной программы) в соответствии с </w:t>
      </w:r>
      <w:hyperlink r:id="rId21" w:tooltip="consultantplus://offline/ref=0A4845331B370A31A6D807CE77B1754F796CABD3369B21A1B303D9807FFBBB8211197C54408CDBFC554F059DD9E10D2350F510BA4B3D401F20861B19e4O" w:history="1">
        <w:r>
          <w:rPr>
            <w:rFonts w:ascii="Times New Roman" w:hAnsi="Times New Roman" w:cs="Times New Roman"/>
            <w:sz w:val="24"/>
            <w:szCs w:val="24"/>
          </w:rPr>
          <w:t xml:space="preserve"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залоговом фонде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принятым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12.09.2008 N 6/82, предусмотрено предоставление объектов муниципального залогового фонда для обеспечения обязательств по кредитам и займам, полученным</w:t>
      </w:r>
      <w:r>
        <w:rPr>
          <w:rFonts w:ascii="Times New Roman" w:hAnsi="Times New Roman" w:cs="Times New Roman"/>
          <w:sz w:val="24"/>
          <w:szCs w:val="24"/>
        </w:rPr>
        <w:t xml:space="preserve"> в кредитных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и НО "Липецкий областной фонд поддержки малого и среднего предпринимательства".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целях создания благоприятного налогового режима для эффективного развития субъектов малого и среднего предпринимательства (задача 1 муниципальной программы) предусмотрено: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пониженной ставки (с 15% до 5%) для предпринимателей, применяющих упрощенную систему налогообложения в соответствии с </w:t>
      </w:r>
      <w:hyperlink r:id="rId22" w:tooltip="consultantplus://offline/ref=0A4845331B370A31A6D819C361DD29407A65F3DB3C9C22F6EE5C82DD28F2B1D544567D1A0685C4FD55510794D31BeCO" w:history="1">
        <w:r>
          <w:rPr>
            <w:rFonts w:ascii="Times New Roman" w:hAnsi="Times New Roman" w:cs="Times New Roman"/>
            <w:sz w:val="24"/>
            <w:szCs w:val="24"/>
          </w:rPr>
          <w:t xml:space="preserve"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позволит снизить налоговую нагрузку на субъекты малого и среднего предпринимательства и стимулирует рост их числа. В 2024 году планируется довести их численность до 360 ед.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7) Анализ рисков реализации муниципальной программы и описание мер управления рисками реализации муниципальной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рискам, способным оказать негативное влияние на результаты реализации Программы, можно отнести: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рост цен на энергоресурсы;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высокие процентные ставки по банковским кредитам;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ресурсные ограничения для хозяйствующих субъектов, в том числе ограниченный досту</w:t>
      </w:r>
      <w:r>
        <w:rPr>
          <w:rFonts w:ascii="Times New Roman" w:hAnsi="Times New Roman" w:cs="Times New Roman"/>
          <w:sz w:val="24"/>
          <w:szCs w:val="24"/>
        </w:rPr>
        <w:t xml:space="preserve">п к земельным участкам, нехватка</w:t>
      </w:r>
      <w:r>
        <w:rPr>
          <w:rFonts w:ascii="Times New Roman" w:hAnsi="Times New Roman" w:cs="Times New Roman"/>
          <w:sz w:val="24"/>
          <w:szCs w:val="24"/>
        </w:rPr>
        <w:t xml:space="preserve"> квалифицированных кадров; 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инфраструктурные проблемы, включая длительные процедуры присоединения к объектам электросетевого и газового хозяйства, коммунальной инфраструктуры;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недофинансирование мероприятий Программы из районного бюджета.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мерам управления рисками с целью минимизации их влияния на достижение целей Программы относятся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ланирование и прогнозирование. Ответственный исполнитель вносит предложения о внесе</w:t>
      </w:r>
      <w:r>
        <w:rPr>
          <w:rFonts w:ascii="Times New Roman" w:hAnsi="Times New Roman" w:cs="Times New Roman"/>
          <w:sz w:val="24"/>
          <w:szCs w:val="24"/>
        </w:rPr>
        <w:t xml:space="preserve">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и использование современной системы мониторинга на всех стадиях реализации Программы.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8) Мониторинг реализации муниципальной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23" w:tooltip="consultantplus://offline/ref=0A4845331B370A31A6D807CE77B1754F796CABD3329920A9BA03D9807FFBBB8211197C54408CDBFC554F0495D9E10D2350F510BA4B3D401F20861B19e4O" w:history="1">
        <w:r>
          <w:rPr>
            <w:rFonts w:ascii="Times New Roman" w:hAnsi="Times New Roman" w:cs="Times New Roman"/>
            <w:sz w:val="24"/>
            <w:szCs w:val="24"/>
          </w:rPr>
          <w:t xml:space="preserve"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от 05.08.2013 N 444 (в редакции постановления от 02.11.2015 N 480). Реализация Программы осуществляется в соответствии с планом ее реализации, утверждаемым ежегодно с учетом приоритетов 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мониторинга являются индикаторы (показатели) Программы (подпрограмм) и основных мероприятий.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о ходе реализации Программы.</w:t>
      </w:r>
      <w:r/>
    </w:p>
    <w:p>
      <w:pPr>
        <w:jc w:val="center"/>
        <w:rPr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tbl>
      <w:tblPr>
        <w:tblW w:w="15596" w:type="dxa"/>
        <w:tblInd w:w="93" w:type="dxa"/>
        <w:tblLook w:val="04A0" w:firstRow="1" w:lastRow="0" w:firstColumn="1" w:lastColumn="0" w:noHBand="0" w:noVBand="1"/>
      </w:tblPr>
      <w:tblGrid>
        <w:gridCol w:w="499"/>
        <w:gridCol w:w="3960"/>
        <w:gridCol w:w="1592"/>
        <w:gridCol w:w="1152"/>
        <w:gridCol w:w="686"/>
        <w:gridCol w:w="790"/>
        <w:gridCol w:w="686"/>
        <w:gridCol w:w="790"/>
        <w:gridCol w:w="686"/>
        <w:gridCol w:w="738"/>
        <w:gridCol w:w="790"/>
        <w:gridCol w:w="738"/>
        <w:gridCol w:w="738"/>
        <w:gridCol w:w="790"/>
        <w:gridCol w:w="738"/>
        <w:gridCol w:w="738"/>
      </w:tblGrid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Приложение 1 к муниципальной программе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"Создание условий для развития экономики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муниципального района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6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Липецкой области"</w:t>
            </w:r>
            <w:r/>
          </w:p>
        </w:tc>
      </w:tr>
      <w:tr>
        <w:trPr>
          <w:trHeight w:val="315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6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СВЕДЕНИЯ</w:t>
            </w:r>
            <w:r/>
          </w:p>
        </w:tc>
      </w:tr>
      <w:tr>
        <w:trPr>
          <w:trHeight w:val="315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6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ОБ ИНДИКАТОРАХ ЦЕЛИ и ПОКАЗАТЕЛЯХ ЗАДАЧ </w:t>
            </w:r>
            <w:r/>
          </w:p>
        </w:tc>
      </w:tr>
      <w:tr>
        <w:trPr>
          <w:trHeight w:val="315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6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"СОЗДАНИЕ УСЛОВИЙ ДЛЯ РАЗВИТИЯ</w:t>
            </w:r>
            <w:r/>
          </w:p>
        </w:tc>
      </w:tr>
      <w:tr>
        <w:trPr>
          <w:trHeight w:val="315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6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ЭКОНОМИКИ КРАСНИНСКОГО МУНИЦИПАЛЬНОГО РАЙОНА ЛИПЕЦКОЙ ОБЛАСТИ"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5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Наименование целей, индикаторов, задач, показателей, подпрограмм, основных мероприятий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Ответственный исполнитель, соисполнитель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 измерения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Значения индикаторов и показателей </w:t>
            </w:r>
            <w:r/>
          </w:p>
        </w:tc>
      </w:tr>
      <w:tr>
        <w:trPr>
          <w:trHeight w:val="11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2016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2017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2019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2024 год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7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sz w:val="24"/>
                <w:szCs w:val="24"/>
              </w:rPr>
              <w:t xml:space="preserve">Цель муниципальной программы:                   </w:t>
            </w:r>
            <w:r>
              <w:rPr>
                <w:rFonts w:cs="Times New Roman"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"Развитие экономического потенциала района, стимулирование экономической активности бизнеса"</w:t>
            </w:r>
            <w:r/>
          </w:p>
        </w:tc>
      </w:tr>
      <w:tr>
        <w:trPr>
          <w:trHeight w:val="11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Индикатор 1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Темп роста инвестиций в основной капитал (по полному кругу предприятий)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102,5</w:t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Индикатор 2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Темп роста объема отгруженной продукции (товаров, работ, услуг)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103,0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104,0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101,6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102,3</w:t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Индикатор 3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Темп роста среднемесячной начисленной заработной платы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109,2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106,5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105,6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1 Муниципальной программы: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"Создание благоприятных условий для ведения предпринимательской деятельности и функционирования   малых форм хозяйствования района"</w:t>
            </w:r>
            <w:r/>
          </w:p>
        </w:tc>
      </w:tr>
      <w:tr>
        <w:trPr>
          <w:trHeight w:val="20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задачи 1 муниципальной программы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</w:t>
            </w:r>
            <w:r/>
          </w:p>
        </w:tc>
      </w:tr>
      <w:tr>
        <w:trPr>
          <w:trHeight w:val="14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2 задачи 1 муниципальной программы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Объем продукции, закупаемой (произведенной) сельскохозяйственными потребительскими кооперативами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7150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7200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7250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7390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7410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31500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37680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38000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38500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39000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39500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40000</w:t>
            </w:r>
            <w:r/>
          </w:p>
        </w:tc>
      </w:tr>
      <w:tr>
        <w:trPr>
          <w:trHeight w:val="14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3 задачи 1 муниципальной программы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Объем выданных займов кредитными сельскохозяйственными потребительскими кооперативами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16000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16350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4 задачи 1 муниципальной программы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Доля продукции, закупленной у личных подсобных хозяйств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69,0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Подпрограмма 1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"Развитие малого и среднего предпринимательства в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Краснинском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муниципальном районе Липецкой области на 2014 - 2024 годы"</w:t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Цель Подпрограммы 1: "Инновационное развитие и улучшение отраслевой структуры экономики,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br/>
              <w:t xml:space="preserve"> социальное развитие и обеспечение  занятости населения"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Индикатор 1 Подпрограммы 1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: Количество 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занятых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в секторе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1545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333333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333333"/>
                <w:sz w:val="22"/>
                <w:szCs w:val="22"/>
              </w:rPr>
              <w:t xml:space="preserve">Индикатор 2 Подпрограммы 1: </w:t>
            </w:r>
            <w:r>
              <w:rPr>
                <w:rFonts w:cs="Times New Roman" w:eastAsia="Times New Roman"/>
                <w:color w:val="333333"/>
                <w:sz w:val="22"/>
                <w:szCs w:val="22"/>
              </w:rPr>
              <w:t xml:space="preserve">Количество субъектов малого и среднего предпринимательства   (включая ИП) в расчете на 1 тыс. человек населения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27,6</w:t>
            </w:r>
            <w:r/>
          </w:p>
        </w:tc>
      </w:tr>
      <w:tr>
        <w:trPr>
          <w:trHeight w:val="6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1 Подпрограммы 1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Повышение финансовой устойчивости, информационной обеспеченности субъектов малого и среднего предпринимательства</w:t>
            </w:r>
            <w:r/>
          </w:p>
        </w:tc>
      </w:tr>
      <w:tr>
        <w:trPr>
          <w:trHeight w:val="15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vAlign w:val="center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задачи 1      подпрограммы 1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поддержка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</w:t>
            </w:r>
            <w:r/>
          </w:p>
        </w:tc>
      </w:tr>
      <w:tr>
        <w:trPr>
          <w:trHeight w:val="12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задачи 1 подпрограммы 1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Предоставление субсидий субъектам предпринимательской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1144,4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897,0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555,1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872,2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178,1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380,0</w:t>
            </w:r>
            <w:r/>
          </w:p>
        </w:tc>
      </w:tr>
      <w:tr>
        <w:trPr>
          <w:trHeight w:val="18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2 задачи 1 подпрограммы 1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Проведение мероприятий по информационной обеспеченности и формированию положительного имиджа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35,0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18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2 Подпрограммы 1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Содействие в организации эффективной практической деятельности сельскохозяйственным потребительским кооперативам,                                                                    в том числе кредитным</w:t>
            </w:r>
            <w:r/>
          </w:p>
        </w:tc>
      </w:tr>
      <w:tr>
        <w:trPr>
          <w:trHeight w:val="14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задачи 2              подпрограммы 1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пайщиков в сельскохозяйственных кредитных потребительских кооперативах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3050</w:t>
            </w:r>
            <w:r/>
          </w:p>
        </w:tc>
      </w:tr>
      <w:tr>
        <w:trPr>
          <w:trHeight w:val="12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задачи 2 подпрограммы 1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Поддержка сельскохозяйственных кредитных потребительских кооперативов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758,41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516,5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1291,2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411,7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403,7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505,6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532,6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591,5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510,2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660,0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3 Подпрограммы 1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Содействие в обеспечении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</w:t>
            </w:r>
            <w:r/>
          </w:p>
        </w:tc>
      </w:tr>
      <w:tr>
        <w:trPr>
          <w:trHeight w:val="14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задачи 3             подпрограммы 1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субъектов малого и среднего предпринимательства (заготовительных организаций), которым оказана поддержка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13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2 зада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чи 3                 подпрограммы 1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Рост объема сельскохозяйственной продукции, закупленной в ЛПХ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 Показатель 3 задачи 3               подпрограммы 1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ЛПХ,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вовлеченных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в заготовительный процесс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280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4000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5800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5800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   задачи 3 подпрограммы 1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Предоставление субсидий на организацию и развитие заготовительной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321,6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85,0</w:t>
            </w:r>
            <w:r/>
          </w:p>
        </w:tc>
      </w:tr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26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2 Муниципальной программы: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"Создание благоприятных условий для развития субъектов торговой деятельности и бытового обслуживания населения района"</w:t>
            </w:r>
            <w:r/>
          </w:p>
        </w:tc>
      </w:tr>
      <w:tr>
        <w:trPr>
          <w:trHeight w:val="103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задачи 2 муниц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ипальной программы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Объем проданных товаров на 1 жителя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68,6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71,3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195,0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225,0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234,0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241,0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245,0</w:t>
            </w:r>
            <w:r/>
          </w:p>
        </w:tc>
      </w:tr>
      <w:tr>
        <w:trPr>
          <w:trHeight w:val="11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2 задачи 2 муниципальной программы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Объем оказанных бытовых услуг на 1 жителя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4,7</w:t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29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116" w:type="dxa"/>
            <w:vAlign w:val="bottom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Подпрограмма 2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"Повышение качества торгового и бытового обслуживания сельского населения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муниципального района Липецкой области на 2014 - 2024 годы"</w:t>
            </w:r>
            <w:r/>
          </w:p>
        </w:tc>
      </w:tr>
      <w:tr>
        <w:trPr>
          <w:trHeight w:val="7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1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Цель Подпрограммы 2: "Равномерное, конкурентоспособное и эффективное развитие торговой отрасли и сфер общественного питания, бытового обслуживания по всей территории района"</w:t>
            </w:r>
            <w:r/>
          </w:p>
        </w:tc>
      </w:tr>
      <w:tr>
        <w:trPr>
          <w:trHeight w:val="10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Индикатор 1 Подпрограммы 2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: Обеспеченность населения торговыми площадями.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кв. м на 1000 жителей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532,0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535,0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540,0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545,0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547,0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550,0</w:t>
            </w:r>
            <w:r/>
          </w:p>
        </w:tc>
      </w:tr>
      <w:tr>
        <w:trPr>
          <w:trHeight w:val="17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Индикатор 2 Подпрограммы 2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: Доля хозяйствующих субъектов частной формы собственности в общем количестве хозяйствующих субъектов в сфере торгового и бытового обслуживания населения.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99,0</w:t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33</w:t>
            </w:r>
            <w:r/>
          </w:p>
        </w:tc>
        <w:tc>
          <w:tcPr>
            <w:gridSpan w:val="1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116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Задача 1 Подпрограммы 2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Обеспечение условий для организации развозной торговли и бытового обслуживания населения</w:t>
            </w:r>
            <w:r/>
          </w:p>
        </w:tc>
      </w:tr>
      <w:tr>
        <w:trPr>
          <w:trHeight w:val="11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1 задачи 1                   подпрограммы 2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Количество хозяйствующих субъектов, получивших поддержку, 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>
          <w:trHeight w:val="14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2 задачи 1                подпрограммы 2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Доля населенных пунктов, не имеющих стационарной торговой сети, в которых организована развозная торговля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70,0</w:t>
            </w:r>
            <w:r/>
          </w:p>
        </w:tc>
      </w:tr>
      <w:tr>
        <w:trPr>
          <w:trHeight w:val="11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3 задачи 1                   подпрограммы 2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Прирост оборота розничной торговли в сельской местности к предыдущему году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Показатель 4 задачи 1                подпрограммы 2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Прирост объема бытовых услуг в сельской местности к предыдущему году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5,0</w:t>
            </w:r>
            <w:r/>
          </w:p>
        </w:tc>
      </w:tr>
      <w:tr>
        <w:trPr>
          <w:trHeight w:val="23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160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задачи 1 подпрограммы 2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тыс. руб.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466,27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967,5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537,1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1177,4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6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509,0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350,8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1036,4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440,4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555,0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26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tbl>
      <w:tblPr>
        <w:tblW w:w="16088" w:type="dxa"/>
        <w:tblInd w:w="93" w:type="dxa"/>
        <w:tblLook w:val="04A0" w:firstRow="1" w:lastRow="0" w:firstColumn="1" w:lastColumn="0" w:noHBand="0" w:noVBand="1"/>
      </w:tblPr>
      <w:tblGrid>
        <w:gridCol w:w="504"/>
        <w:gridCol w:w="2951"/>
        <w:gridCol w:w="1618"/>
        <w:gridCol w:w="1731"/>
        <w:gridCol w:w="1024"/>
        <w:gridCol w:w="845"/>
        <w:gridCol w:w="748"/>
        <w:gridCol w:w="748"/>
        <w:gridCol w:w="748"/>
        <w:gridCol w:w="734"/>
        <w:gridCol w:w="748"/>
        <w:gridCol w:w="748"/>
        <w:gridCol w:w="734"/>
        <w:gridCol w:w="748"/>
        <w:gridCol w:w="734"/>
        <w:gridCol w:w="748"/>
      </w:tblGrid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4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81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Приложение 2 к муниципальной программе</w:t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4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81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"Создание условий для развития экономики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4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81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муниципального района</w:t>
            </w:r>
            <w:r/>
          </w:p>
        </w:tc>
      </w:tr>
      <w:tr>
        <w:trPr>
          <w:trHeight w:val="316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4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981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Липецкой области"</w:t>
            </w:r>
            <w:r/>
          </w:p>
        </w:tc>
      </w:tr>
      <w:tr>
        <w:trPr>
          <w:trHeight w:val="316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084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РЕСУРСНОЕ ОБЕСПЕЧЕНИЕ РЕАЛИЗАЦИИ</w:t>
            </w:r>
            <w:r/>
          </w:p>
        </w:tc>
      </w:tr>
      <w:tr>
        <w:trPr>
          <w:trHeight w:val="316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084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"СОЗДАНИЕ УСЛОВИЙ ДЛЯ РАЗВИТИЯ</w:t>
            </w:r>
            <w:r/>
          </w:p>
        </w:tc>
      </w:tr>
      <w:tr>
        <w:trPr>
          <w:trHeight w:val="316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084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ЭКОНОМИКИ КРАСНИНСКОГО МУНИЦИПАЛЬНОГО РАЙОНА ЛИПЕЦКОЙ ОБЛАСТИ"</w:t>
            </w:r>
            <w:r/>
          </w:p>
        </w:tc>
      </w:tr>
      <w:tr>
        <w:trPr>
          <w:trHeight w:val="316"/>
        </w:trPr>
        <w:tc>
          <w:tcPr>
            <w:gridSpan w:val="1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084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ЗА СЧЕТ СРЕДСТВ МЕСТНОГО БЮДЖЕТА</w:t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44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75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6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2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9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Наименование целей, индикаторов, задач, показателей, подпрограмм, основных мероприятий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Ответственный исполнитель, соисполнитель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источник финансирования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1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Расходы (тыс. руб.)</w:t>
            </w:r>
            <w:r/>
          </w:p>
        </w:tc>
      </w:tr>
      <w:tr>
        <w:trPr>
          <w:trHeight w:val="1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2016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2017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2019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2024 год</w:t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180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    "Создание условий для развития экономики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18013,28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2720,68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2406,0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2358,0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1840,0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727,5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1630,1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1049,1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918,4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1662,9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1715,0</w:t>
            </w:r>
            <w:r/>
          </w:p>
        </w:tc>
      </w:tr>
      <w:tr>
        <w:trPr>
          <w:trHeight w:val="17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Подпрограмма 1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"Развитие малого и среднего предпринимательства в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Краснинском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муниципальном районе Липецкой области на 2014 - 2024 годы"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</w:rPr>
            </w:pPr>
            <w:r>
              <w:rPr>
                <w:rFonts w:cs="Times New Roman" w:eastAsia="Times New Roman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11023,61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2254,41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1438,5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1864,7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1302,9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271,0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452,7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540,1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567,6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626,5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545,2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1160,0</w:t>
            </w:r>
            <w:r/>
          </w:p>
        </w:tc>
      </w:tr>
      <w:tr>
        <w:trPr>
          <w:trHeight w:val="185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за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дачи 1 подпрограммы 1                                                                                                                                                                         Предоставление субсидий субъектам предпринимательской деятельности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4026,8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1144,4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897,0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555,1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872,2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178,1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380,0</w:t>
            </w:r>
            <w:r/>
          </w:p>
        </w:tc>
      </w:tr>
      <w:tr>
        <w:trPr>
          <w:trHeight w:val="87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Merge w:val="restart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фермерских хозяйств) на возмещение затрат по организации и развитию собственного дела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555,1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270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53,5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380,0</w:t>
            </w:r>
            <w:r/>
          </w:p>
        </w:tc>
      </w:tr>
      <w:tr>
        <w:trPr>
          <w:trHeight w:val="124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602,2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124,6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</w:tr>
      <w:tr>
        <w:trPr>
          <w:trHeight w:val="2709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2 задачи 1 подпрограммы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                                                                                                                             Проведение мероприятий по информационной обеспеченности и формированию положительного имиджа малого и среднего предпринимательства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358,8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25,0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18,4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12,9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34,5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35,0</w:t>
            </w:r>
            <w:r/>
          </w:p>
        </w:tc>
      </w:tr>
      <w:tr>
        <w:trPr>
          <w:trHeight w:val="1806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1 задачи 2 подпрограммы 1                                    Поддержка сельскохозяйственных кредитных потребительских кооперативов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6231,41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728,41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516,5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1291,2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411,7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80,0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403,7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505,6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532,6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591,5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510,2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660,0</w:t>
            </w:r>
            <w:r/>
          </w:p>
        </w:tc>
      </w:tr>
      <w:tr>
        <w:trPr>
          <w:trHeight w:val="918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5.1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Merge w:val="restart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Субсидии на поддержку осуществления деятельности  </w:t>
            </w:r>
            <w:r>
              <w:rPr>
                <w:rFonts w:cs="Times New Roman" w:eastAsia="Times New Roman"/>
                <w:color w:val="000000"/>
              </w:rPr>
              <w:t xml:space="preserve">сельскохозйственных</w:t>
            </w:r>
            <w:r>
              <w:rPr>
                <w:rFonts w:cs="Times New Roman" w:eastAsia="Times New Roman"/>
                <w:color w:val="000000"/>
              </w:rPr>
              <w:t xml:space="preserve"> </w:t>
            </w:r>
            <w:r>
              <w:rPr>
                <w:rFonts w:cs="Times New Roman" w:eastAsia="Times New Roman"/>
                <w:color w:val="000000"/>
              </w:rPr>
              <w:t xml:space="preserve">кредитных потребительских кооперативов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местный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60,0</w:t>
            </w:r>
            <w:r/>
          </w:p>
        </w:tc>
      </w:tr>
      <w:tr>
        <w:trPr>
          <w:trHeight w:val="9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445,6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472,6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600,0</w:t>
            </w:r>
            <w:r/>
          </w:p>
        </w:tc>
      </w:tr>
      <w:tr>
        <w:trPr>
          <w:trHeight w:val="144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    задачи 3 подпрограммы 1              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Предоставление субсидий на организацию и развитие заготовительной деятельности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406,6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321,6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85,0</w:t>
            </w:r>
            <w:r/>
          </w:p>
        </w:tc>
      </w:tr>
      <w:tr>
        <w:trPr>
          <w:trHeight w:val="1054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Merge w:val="restart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Субсидии юридическим лицам и индивидуальным предпринимателям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85,0</w:t>
            </w:r>
            <w:r/>
          </w:p>
        </w:tc>
      </w:tr>
      <w:tr>
        <w:trPr>
          <w:trHeight w:val="130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0</w:t>
            </w:r>
            <w:r/>
          </w:p>
        </w:tc>
      </w:tr>
      <w:tr>
        <w:trPr>
          <w:trHeight w:val="230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2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"Повышение качества торгового и бытового обслуживания сельского населения 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 муниципального района Липецкой области на 2014 - 2024 годы"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bottom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6989,67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466,27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967,5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537,1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1177,4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509,0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1036,4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440,4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555,0</w:t>
            </w:r>
            <w:r/>
          </w:p>
        </w:tc>
      </w:tr>
      <w:tr>
        <w:trPr>
          <w:trHeight w:val="3477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4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Основное меропри</w:t>
            </w: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ятие 1 задачи 1 подпрограммы 2                           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6989,67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466,27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967,5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493,3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537,1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456,5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1177,4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509,0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350,8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1036,4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440,4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555,0</w:t>
            </w:r>
            <w:r/>
          </w:p>
        </w:tc>
      </w:tr>
      <w:tr>
        <w:trPr>
          <w:trHeight w:val="9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Merge w:val="restart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Субсидии   на создание условий для обеспечения торговли и бытового обслуживания поселений, входящих в состав муниципального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Отдел экономики и трудовых отношений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52,4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141,7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115,0</w:t>
            </w:r>
            <w:r/>
          </w:p>
        </w:tc>
      </w:tr>
      <w:tr>
        <w:trPr>
          <w:trHeight w:val="94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2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04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56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vAlign w:val="center"/>
            <w:textDirection w:val="btLr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</w:rPr>
            </w:pPr>
            <w:r>
              <w:rPr>
                <w:rFonts w:cs="Times New Roman" w:eastAsia="Times New Roman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434,4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/>
          </w:tcPr>
          <w:p>
            <w:pPr>
              <w:jc w:val="center"/>
              <w:widowControl/>
              <w:rPr>
                <w:rFonts w:ascii="Calibri" w:hAnsi="Calibri" w:cs="Times New Roman" w:eastAsia="Times New Roman"/>
                <w:color w:val="000000"/>
              </w:rPr>
            </w:pPr>
            <w:r>
              <w:rPr>
                <w:rFonts w:ascii="Calibri" w:hAnsi="Calibri" w:cs="Times New Roman" w:eastAsia="Times New Roman"/>
                <w:color w:val="000000"/>
              </w:rPr>
              <w:t xml:space="preserve">472,6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410,8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1035,7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444,0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235,8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921,4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325,4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</w:rPr>
            </w:pPr>
            <w:r>
              <w:rPr>
                <w:rFonts w:cs="Times New Roman" w:eastAsia="Times New Roman"/>
                <w:color w:val="000000"/>
              </w:rPr>
              <w:t xml:space="preserve">440,0</w:t>
            </w:r>
            <w:r/>
          </w:p>
        </w:tc>
      </w:tr>
    </w:tbl>
    <w:p>
      <w:pPr>
        <w:tabs>
          <w:tab w:val="left" w:pos="72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513"/>
        <w:gridCol w:w="2660"/>
        <w:gridCol w:w="1394"/>
        <w:gridCol w:w="1060"/>
        <w:gridCol w:w="931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8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4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Приложение 3 к муниципальной программе "Создание условий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для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gridSpan w:val="9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20" w:type="dxa"/>
            <w:vAlign w:val="bottom"/>
            <w:textDirection w:val="lrTb"/>
            <w:noWrap/>
          </w:tcPr>
          <w:p>
            <w:pPr>
              <w:jc w:val="right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развития экономики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муниципального района Липецкой  области"</w:t>
            </w:r>
            <w:r/>
          </w:p>
        </w:tc>
      </w:tr>
      <w:tr>
        <w:trPr>
          <w:trHeight w:val="315"/>
        </w:trPr>
        <w:tc>
          <w:tcPr>
            <w:gridSpan w:val="1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20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ПРОГНОЗНАЯ ОЦЕНКА РАСХОДОВ ПО ИСТОЧНИКАМ ОБЕСПЕЧЕНИЯ НА РЕАЛИЗАЦИЮ</w:t>
            </w:r>
            <w:r/>
          </w:p>
        </w:tc>
      </w:tr>
      <w:tr>
        <w:trPr>
          <w:trHeight w:val="315"/>
        </w:trPr>
        <w:tc>
          <w:tcPr>
            <w:gridSpan w:val="1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20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"СОЗДАНИЕ УСЛОВИЙ ДЛЯ РАЗВИТИЯ</w:t>
            </w:r>
            <w:r/>
          </w:p>
        </w:tc>
      </w:tr>
      <w:tr>
        <w:trPr>
          <w:trHeight w:val="315"/>
        </w:trPr>
        <w:tc>
          <w:tcPr>
            <w:gridSpan w:val="1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20" w:type="dxa"/>
            <w:vAlign w:val="bottom"/>
            <w:textDirection w:val="lrTb"/>
            <w:noWrap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4"/>
                <w:szCs w:val="24"/>
              </w:rPr>
              <w:t xml:space="preserve">ЭКОНОМИКИ КРАСНИНСКОГО МУНИЦИПАЛЬНОГО РАЙОНА ЛИПЕЦКОЙ ОБЛАСТИ"</w:t>
            </w:r>
            <w:r/>
          </w:p>
        </w:tc>
      </w:tr>
      <w:tr>
        <w:trPr>
          <w:trHeight w:val="15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4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6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80" w:type="dxa"/>
            <w:vAlign w:val="bottom"/>
            <w:textDirection w:val="lrTb"/>
            <w:noWrap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п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Наименование  подпрограмм, основных мероприятий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Источник ресурсного обеспечения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074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Расходы (тыс. руб.)</w:t>
            </w:r>
            <w:r/>
          </w:p>
        </w:tc>
      </w:tr>
      <w:tr>
        <w:trPr>
          <w:trHeight w:val="5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2016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2017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2018 год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2019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2024 год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textDirection w:val="lrTb"/>
            <w:noWrap w:val="false"/>
          </w:tcPr>
          <w:p>
            <w:pPr>
              <w:jc w:val="right"/>
              <w:widowControl/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i/>
                <w:iCs/>
                <w:color w:val="000000"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Муниципальная  программа:   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"Создание условий для развития экономики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Красниского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муниципального района 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Лмпецкой</w:t>
            </w: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 области"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18013,28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2720,68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2406,0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2358,0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1840,0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727,5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1630,1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1049,1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918,4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1662,9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985,6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1715,0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1420,98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809,58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13547,0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1533,1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1657,0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2015,8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607,4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1410,7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889,6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708,4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1452,9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775,6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1040,0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3045,3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378,0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383,5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120,1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219,4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159,5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210,0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675,0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бюджеты поселений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средства </w:t>
            </w:r>
            <w:r>
              <w:rPr>
                <w:rFonts w:cs="Times New Roman" w:eastAsia="Times New Roman"/>
                <w:sz w:val="14"/>
                <w:szCs w:val="14"/>
              </w:rPr>
              <w:t xml:space="preserve">внебюжетн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0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Подпрограмма 1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"Развитие малого и среднего предпринимательства в 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Краснинском</w:t>
            </w:r>
            <w:r>
              <w:rPr>
                <w:rFonts w:cs="Times New Roman" w:eastAsia="Times New Roman"/>
                <w:sz w:val="22"/>
                <w:szCs w:val="22"/>
              </w:rPr>
              <w:t xml:space="preserve"> муниципальном районе Липецкой области на               2014 - 2024 годы"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11023,61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2254,4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1438,5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1864,7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1302,9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271,0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452,7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540,1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567,6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626,5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545,2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1160,0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1420,98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809,58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474,0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137,4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7638,13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1181,83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819,5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1581,4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983,9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196,6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375,0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445,6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472,6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531,5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450,2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600,0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1964,5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263,0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145,0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145,9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319,0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74,4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77,7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560,0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бюджеты поселений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средства </w:t>
            </w:r>
            <w:r>
              <w:rPr>
                <w:rFonts w:cs="Times New Roman" w:eastAsia="Times New Roman"/>
                <w:sz w:val="14"/>
                <w:szCs w:val="14"/>
              </w:rPr>
              <w:t xml:space="preserve">внебюжетн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2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"Повышение качества торгового и бытового обслуживания сельского населения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Краснинского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 муниципального района </w:t>
            </w:r>
            <w:r>
              <w:rPr>
                <w:rFonts w:cs="Times New Roman" w:eastAsia="Times New Roman"/>
                <w:color w:val="000000"/>
                <w:sz w:val="22"/>
                <w:szCs w:val="22"/>
              </w:rPr>
              <w:t xml:space="preserve">Липецкой области на               2014 - 2024 годы"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</w:rPr>
            </w:pPr>
            <w:r>
              <w:rPr>
                <w:rFonts w:cs="Times New Roman" w:eastAsia="Times New Roman"/>
                <w:b/>
                <w:bCs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6989,67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466,27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967,5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493,3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537,1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456,5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1177,4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509,0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350,8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1036,4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440,4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555,0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федеральный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областной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5908,87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351,27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837,5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434,4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472,6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410,8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1035,7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444,0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235,8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921,4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325,4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440,0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1080,8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130,0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58,9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64,5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45,7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141,7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65,0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115,0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бюджеты поселений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  <w:tr>
        <w:trPr>
          <w:trHeight w:val="41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8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6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cs="Times New Roman" w:eastAsia="Times New Roman"/>
                <w:color w:val="000000"/>
                <w:sz w:val="22"/>
                <w:szCs w:val="22"/>
              </w:rPr>
            </w:pPr>
            <w:r>
              <w:rPr>
                <w:rFonts w:cs="Times New Roman" w:eastAsia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0" w:type="dxa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14"/>
                <w:szCs w:val="14"/>
              </w:rPr>
            </w:pPr>
            <w:r>
              <w:rPr>
                <w:rFonts w:cs="Times New Roman" w:eastAsia="Times New Roman"/>
                <w:sz w:val="14"/>
                <w:szCs w:val="14"/>
              </w:rPr>
              <w:t xml:space="preserve">средства </w:t>
            </w:r>
            <w:r>
              <w:rPr>
                <w:rFonts w:cs="Times New Roman" w:eastAsia="Times New Roman"/>
                <w:sz w:val="14"/>
                <w:szCs w:val="14"/>
              </w:rPr>
              <w:t xml:space="preserve">внебюжетн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cs="Times New Roman" w:eastAsia="Times New Roman"/>
                <w:sz w:val="22"/>
                <w:szCs w:val="22"/>
              </w:rPr>
            </w:pPr>
            <w:r>
              <w:rPr>
                <w:rFonts w:cs="Times New Roman" w:eastAsia="Times New Roman"/>
                <w:sz w:val="22"/>
                <w:szCs w:val="22"/>
              </w:rPr>
              <w:t xml:space="preserve"> </w:t>
            </w:r>
            <w:r/>
          </w:p>
        </w:tc>
      </w:tr>
    </w:tbl>
    <w:p>
      <w:pPr>
        <w:tabs>
          <w:tab w:val="left" w:pos="6585" w:leader="none"/>
        </w:tabs>
        <w:rPr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340" w:bottom="510" w:left="510" w:header="709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Cs w:val="22"/>
        </w:rPr>
        <w:outlineLvl w:val="1"/>
      </w:pPr>
      <w:r>
        <w:rPr>
          <w:rFonts w:ascii="Times New Roman" w:hAnsi="Times New Roman" w:cs="Times New Roman"/>
          <w:b w:val="0"/>
          <w:szCs w:val="22"/>
        </w:rPr>
        <w:t xml:space="preserve">Паспорт подпрограммы 1 муниципальной программы </w:t>
      </w:r>
      <w:r>
        <w:rPr>
          <w:rFonts w:ascii="Times New Roman" w:hAnsi="Times New Roman" w:cs="Times New Roman"/>
          <w:b w:val="0"/>
          <w:szCs w:val="22"/>
        </w:rPr>
        <w:t xml:space="preserve">Краснинского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муниципального района "Развитие малого и среднего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предпринимательства в </w:t>
      </w:r>
      <w:r>
        <w:rPr>
          <w:rFonts w:ascii="Times New Roman" w:hAnsi="Times New Roman" w:cs="Times New Roman"/>
          <w:b w:val="0"/>
          <w:szCs w:val="22"/>
        </w:rPr>
        <w:t xml:space="preserve">Краснинском</w:t>
      </w:r>
      <w:r>
        <w:rPr>
          <w:rFonts w:ascii="Times New Roman" w:hAnsi="Times New Roman" w:cs="Times New Roman"/>
          <w:b w:val="0"/>
          <w:szCs w:val="22"/>
        </w:rPr>
        <w:t xml:space="preserve"> муниципальном районе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Липецкой области на 2014 - 2024 годы" </w:t>
      </w:r>
      <w:r/>
    </w:p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tbl>
      <w:tblPr>
        <w:tblW w:w="0" w:type="auto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экономики и трудовых отношений 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Краснинского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/>
          </w:p>
        </w:tc>
      </w:tr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Цель Подпрограммы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Инновационное развитие и улучшение отраслевой структуры экономики,  социальное развитие и обеспечение  занятости населения</w:t>
            </w:r>
            <w:r/>
          </w:p>
        </w:tc>
      </w:tr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Индикаторы цели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занятых</w:t>
            </w:r>
            <w:r>
              <w:rPr>
                <w:rFonts w:ascii="Times New Roman" w:hAnsi="Times New Roman" w:cs="Times New Roman"/>
                <w:szCs w:val="22"/>
              </w:rPr>
              <w:t xml:space="preserve"> в секторе малого и среднего предпринимательства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    Количество субъектов малого и среднего предпринимательства   (включая ИП) в расчете на 1 тыс. человек населения</w:t>
            </w:r>
            <w:r/>
          </w:p>
        </w:tc>
      </w:tr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Задачи Подпрограммы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Повышение финансовой устойчивости, информационной обеспеченности субъектов малого и среднего предпринимательства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Содействие в организации эффективной практической деятельности сельскохозяйственным потребительским кооперативам, в том числе кредитным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Содействие в обеспечение рынков сбыта для продукции, произведенной кооперативами и личными подсобными хозяйствами, за счет создания условий для развития заготовительной деятельности</w:t>
            </w:r>
            <w:r/>
          </w:p>
        </w:tc>
      </w:tr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задач Подпрограммы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количество субъектов малого и среднего предпринимательства, получивших поддержку, ед.;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количество пайщиков в сельскохозяйственных кредитных потребительских кооперативах, ед.;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количество субъектов малого и среднего предпринимательства (заготовительных организаций), которым оказана поддержка, ед. за период реализации Подпрограммы;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рост объема сельскохозяйственной продукции, закупленной в ЛПХ, % за период реализации Подпрограммы;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количество ЛПХ, </w:t>
            </w:r>
            <w:r>
              <w:rPr>
                <w:rFonts w:ascii="Times New Roman" w:hAnsi="Times New Roman" w:cs="Times New Roman"/>
                <w:szCs w:val="22"/>
              </w:rPr>
              <w:t xml:space="preserve">вовлеченных</w:t>
            </w:r>
            <w:r>
              <w:rPr>
                <w:rFonts w:ascii="Times New Roman" w:hAnsi="Times New Roman" w:cs="Times New Roman"/>
                <w:szCs w:val="22"/>
              </w:rPr>
              <w:t xml:space="preserve"> в заготовительный процесс, ед. за период реализации Подпрограммы</w:t>
            </w:r>
            <w:r/>
          </w:p>
        </w:tc>
      </w:tr>
      <w:tr>
        <w:trPr>
          <w:trHeight w:val="493"/>
        </w:trPr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Этапы и сроки реализации Подпрограммы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2014 - 2024 годы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Объемы финансирования за счет средств районного бюджета всего, в том числе по годам реализации Подпрограммы</w:t>
            </w:r>
            <w:r/>
          </w:p>
        </w:tc>
        <w:tc>
          <w:tcPr>
            <w:tcBorders>
              <w:bottom w:val="none" w:color="000000" w:sz="4" w:space="0"/>
            </w:tcBorders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Объемы финансирования, связанные с реализацией </w:t>
            </w:r>
            <w:r>
              <w:rPr>
                <w:rFonts w:ascii="Times New Roman" w:hAnsi="Times New Roman" w:cs="Times New Roman"/>
                <w:szCs w:val="22"/>
              </w:rPr>
              <w:t xml:space="preserve">Подпрограммы, финансируемые за счет средств бюджета муниципального района предположительно составят</w:t>
            </w:r>
            <w:r>
              <w:rPr>
                <w:rFonts w:ascii="Times New Roman" w:hAnsi="Times New Roman" w:cs="Times New Roman"/>
                <w:szCs w:val="22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1964,5</w:t>
            </w:r>
            <w:r>
              <w:rPr>
                <w:rFonts w:ascii="Times New Roman" w:hAnsi="Times New Roman" w:cs="Times New Roman"/>
                <w:szCs w:val="22"/>
              </w:rPr>
              <w:t xml:space="preserve">  тыс. руб., из них: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2014 год - 263,0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2015 год - 145,0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2016 год - 145,9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2017 год - 319,0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2018 год - 74,4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2019 год – 77,6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год -  94,5тыс. руб.  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2021 год -  95,0тыс.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2022 год - 95,0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2023 год – 95,0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2024 год – 560,0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Источником финансирования Подпро</w:t>
            </w:r>
            <w:r>
              <w:rPr>
                <w:rFonts w:ascii="Times New Roman" w:hAnsi="Times New Roman" w:cs="Times New Roman"/>
                <w:szCs w:val="22"/>
              </w:rPr>
              <w:t xml:space="preserve">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 </w:t>
            </w:r>
            <w:r/>
          </w:p>
        </w:tc>
      </w:tr>
      <w:tr>
        <w:trPr/>
        <w:tc>
          <w:tcPr>
            <w:tcW w:w="3120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Ожидаемые результаты реализации Подпрограммы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результате реализации Подпрограммы ожидается к 2024 году: 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оказать поддержку 121 субъекту малого и среднего предпринимательства;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увеличить количество  членов   сельскохозяйственных кредитных </w:t>
            </w:r>
            <w:r>
              <w:rPr>
                <w:rFonts w:ascii="Times New Roman" w:hAnsi="Times New Roman" w:cs="Times New Roman"/>
                <w:szCs w:val="22"/>
              </w:rPr>
              <w:t xml:space="preserve">потребительских кооперативов до 3050 ед.;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оказать поддержку 15 заготовительным организациям;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обеспечить 35% рост объема сельскохозяйственной продукции, закупленной в ЛПХ</w:t>
            </w:r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увеличить количество ЛПХ, </w:t>
            </w:r>
            <w:r>
              <w:rPr>
                <w:rFonts w:ascii="Times New Roman" w:hAnsi="Times New Roman" w:cs="Times New Roman"/>
                <w:szCs w:val="22"/>
              </w:rPr>
              <w:t xml:space="preserve">вовлеченных</w:t>
            </w:r>
            <w:r>
              <w:rPr>
                <w:rFonts w:ascii="Times New Roman" w:hAnsi="Times New Roman" w:cs="Times New Roman"/>
                <w:szCs w:val="22"/>
              </w:rPr>
              <w:t xml:space="preserve"> в заготовительный процесс, до 5800 ед.</w:t>
            </w:r>
            <w:r/>
          </w:p>
        </w:tc>
      </w:tr>
    </w:tbl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Cs w:val="22"/>
        </w:rPr>
        <w:outlineLvl w:val="2"/>
      </w:pPr>
      <w:r>
        <w:rPr>
          <w:rFonts w:ascii="Times New Roman" w:hAnsi="Times New Roman" w:cs="Times New Roman"/>
          <w:b w:val="0"/>
          <w:szCs w:val="22"/>
        </w:rPr>
        <w:t xml:space="preserve">1) Характеристика текущего состояния, формулировка основных проблем, анализ социальных, финансово-экономических и прочих рисков в сфере развития малого и среднего предпринимательства района.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настоящее время в районе зарегистрировано 79 малых и </w:t>
      </w:r>
      <w:r>
        <w:rPr>
          <w:rFonts w:ascii="Times New Roman" w:hAnsi="Times New Roman" w:cs="Times New Roman"/>
          <w:szCs w:val="22"/>
        </w:rPr>
        <w:t xml:space="preserve">микропредприятий</w:t>
      </w:r>
      <w:r>
        <w:rPr>
          <w:rFonts w:ascii="Times New Roman" w:hAnsi="Times New Roman" w:cs="Times New Roman"/>
          <w:szCs w:val="22"/>
        </w:rPr>
        <w:t xml:space="preserve">, 218 индивидуальных предпринимателей.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Реализация целевых программ по развитию и поддержке малого и среднего предпринимательства позволила сформировать преемственную систему финансовой и организационной поддержки субъектов предпринимательства в </w:t>
      </w:r>
      <w:r>
        <w:rPr>
          <w:rFonts w:ascii="Times New Roman" w:hAnsi="Times New Roman" w:cs="Times New Roman"/>
          <w:szCs w:val="22"/>
        </w:rPr>
        <w:t xml:space="preserve">Краснинском</w:t>
      </w:r>
      <w:r>
        <w:rPr>
          <w:rFonts w:ascii="Times New Roman" w:hAnsi="Times New Roman" w:cs="Times New Roman"/>
          <w:szCs w:val="22"/>
        </w:rPr>
        <w:t xml:space="preserve"> районе.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результате реализации мер поддержки субъектов малого и среднего предпринимательства в районе за последние годы создано 1100 новых рабочих мест.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Налоговые платежи от субъектов малого бизнеса в собственных доходах бюджета района составляют 17 - 20%.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Отмечается рост инвестиционной активности субъектов малого предпринимательства.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Взаимодействие органов местного самоуправления с субъектами малого предпринимательства осуществляется в виде проведения семинаров, совещаний, письменных и устных консультаций.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Однако в районе сохраняется актуальность формирования благоприятной среды как для количественного развития малого и среднего предпринимательства, так и для улучшения его отраслевой структуры.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По-прежнему малый и средний бизнес продолжает отд</w:t>
      </w:r>
      <w:r>
        <w:rPr>
          <w:rFonts w:ascii="Times New Roman" w:hAnsi="Times New Roman" w:cs="Times New Roman"/>
          <w:szCs w:val="22"/>
        </w:rPr>
        <w:t xml:space="preserve">авать предпочтение непроизводственным видам деятельности. На потребительском рынке района предприниматели занимают преобладающее место. В общих объемах оборота их доля достигла: в бытовых услугах - 40%, общественном питании - 69%, розничной торговле - 88%.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отраслевой структуре малого и среднего предпр</w:t>
      </w:r>
      <w:r>
        <w:rPr>
          <w:rFonts w:ascii="Times New Roman" w:hAnsi="Times New Roman" w:cs="Times New Roman"/>
          <w:szCs w:val="22"/>
        </w:rPr>
        <w:t xml:space="preserve">инимательства есть целый ряд сегментов, которые имеют потенциал для предпринимательской деятельности и высокую социальную значимость, но в настоящее время развиты не в полной мере - это в сфере здравоохранения, образования, коммунальных и социальных услуг.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Создание условий для занятия собственным бизнесом и последующая их системная поддержка являются необходимыми условиями для решения следующих основных проблем, препятствующих развитию малого и среднего предпринимательства: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ограниченная доступность финансовых ресурсов, обусловленная сложностью получения заемного финансирования для субъектов предпринимательской деятельности;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низкая доступность производственных площадей в связи с них недостаточностью и в связи с постоянно возрастающей стоимостью аренды;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недостаточная информированность предпринимателей о видах поддержки и новациях законодательства;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отсутствие объектов инфраструктуры поддержки малого предпринимательства по обеспечению услугами, необходимыми для осуществления предпринимательской деятельности.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Одним из основных приоритетов развития экономики района является дальнейшее развитие кооперации. В районе создано и работает 5 снабженческо-сбытовых и 1 </w:t>
      </w:r>
      <w:r>
        <w:rPr>
          <w:rFonts w:ascii="Times New Roman" w:hAnsi="Times New Roman" w:cs="Times New Roman"/>
          <w:szCs w:val="22"/>
        </w:rPr>
        <w:t xml:space="preserve">сельскохозяйственный</w:t>
      </w:r>
      <w:r>
        <w:rPr>
          <w:rFonts w:ascii="Times New Roman" w:hAnsi="Times New Roman" w:cs="Times New Roman"/>
          <w:szCs w:val="22"/>
        </w:rPr>
        <w:t xml:space="preserve"> потребительских кооперативов. По состоянию на 01.07.2013 сельскохозяйственными потребительскими кооперативами закуплено продукции на 5,3 млн.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Положено начало развития в районе кредитной кооперации. Создано 8 сельскохозяйственных кредитных потребительских кооперативов на территории 8 сельских поселений.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Основными проблемами развития кооперации в районе остается: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недостаточное развитие кооперативного движения, в том числе отсутствие перерабатывающих кооперативов;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недостаток стартового капитала для осуществления эффективной экономической деятельности;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пассивность населения при объединении в кооперативы;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ограниченный доступ предпринимателей к рынкам сбыта произведенной продукции.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Развитие заготовительной деятельности стимулирует развитие кооперации и личных подсобных хозяйств, обеспечивает сбыт произведенной ими продукции, повышает товарность личных подворий. В настоящее время в районе заготовительную деят</w:t>
      </w:r>
      <w:r>
        <w:rPr>
          <w:rFonts w:ascii="Times New Roman" w:hAnsi="Times New Roman" w:cs="Times New Roman"/>
          <w:szCs w:val="22"/>
        </w:rPr>
        <w:t xml:space="preserve">ельность осуществляет 15 хозяйствующих субъектов. Заготовительный оборот с каждым годом увеличивается, и за 6 месяцев текущего года составил почти 50 млн. рублей. Доля личных подсобных хозяйств района в общем объеме заготовительного оборота составляет 56%.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Сдерживающими факторами развития заготовительной деятельности являются: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высокие цены на ГСМ;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недостаток финансовых ресурсов на приобретение специализированного автотранспорта и иного оборудования, необходимого для заготовки, хранения и первичной переработки продукции;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высокие процентные ставки по кредитам в банках.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Решение указанных проблем в рамках подпрограммы позволит: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активизировать инвестиционную деятельность и устойчивое развитие малого и среднего предпринимательства во всех отраслях реального сектора экономики;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получить значительный экономический эффект не только в охватываемых подпрограммой сферах, но и других отраслях экономики.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Основными рисками при реализации задач являются: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недофинансирование мероприятий Подпрограммы из районного бюджета;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неполное использование субъектами предпринимательской деятельности, кооперативами, заготовительными организациями муниципальной поддержки;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невыполнение обязательств по реализации инвестиционных проектов получателями поддержки.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планирование реализации Подпрограммы;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мониторинг реализации Подпрограммы,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а также в объемы бюджетных ассигнований;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разработка условий и порядка предоставления субсидий, информирование субъектов малого предпринимательства об утверждении данных нормативных правовых актов;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</w:t>
      </w:r>
      <w:r>
        <w:rPr>
          <w:rFonts w:ascii="Times New Roman" w:hAnsi="Times New Roman" w:cs="Times New Roman"/>
          <w:szCs w:val="22"/>
        </w:rPr>
        <w:t xml:space="preserve">редварительная проработка заявок на получение муниципальной поддержки, анализ хозяйственной деятельности заявителей, осуществление постоянного мониторинга за ходом реализации инвестиционных проектов и целевым использованием средств муниципальной поддержки;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оперативное реагирование на изменения факторов внешней и внутренней среды и внесение соответствующих корректировок в Подпрограмму;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контроль выполнения показателей на всех стадиях реализации Подпрограммы.</w:t>
      </w:r>
      <w:r/>
    </w:p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Cs w:val="22"/>
        </w:rPr>
        <w:outlineLvl w:val="2"/>
      </w:pPr>
      <w:r/>
      <w:bookmarkStart w:id="1" w:name="P1299"/>
      <w:r/>
      <w:bookmarkEnd w:id="1"/>
      <w:r>
        <w:rPr>
          <w:rFonts w:ascii="Times New Roman" w:hAnsi="Times New Roman" w:cs="Times New Roman"/>
          <w:b w:val="0"/>
          <w:szCs w:val="22"/>
        </w:rPr>
        <w:t xml:space="preserve">2) Приоритеты муниципальной политики в сфере реализации Подпрограммы, задачи, описание показателей задач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соответствии со Стратегией социально-экономического развития </w:t>
      </w:r>
      <w:r>
        <w:rPr>
          <w:rFonts w:ascii="Times New Roman" w:hAnsi="Times New Roman" w:cs="Times New Roman"/>
          <w:szCs w:val="22"/>
        </w:rPr>
        <w:t xml:space="preserve">Краснинского</w:t>
      </w:r>
      <w:r>
        <w:rPr>
          <w:rFonts w:ascii="Times New Roman" w:hAnsi="Times New Roman" w:cs="Times New Roman"/>
          <w:szCs w:val="22"/>
        </w:rPr>
        <w:t xml:space="preserve"> муниципального района ускоренное развитие малого и среднего бизнеса отнесено к приоритетам социально-экономического развития </w:t>
      </w:r>
      <w:r>
        <w:rPr>
          <w:rFonts w:ascii="Times New Roman" w:hAnsi="Times New Roman" w:cs="Times New Roman"/>
          <w:szCs w:val="22"/>
        </w:rPr>
        <w:t xml:space="preserve">Краснинского</w:t>
      </w:r>
      <w:r>
        <w:rPr>
          <w:rFonts w:ascii="Times New Roman" w:hAnsi="Times New Roman" w:cs="Times New Roman"/>
          <w:szCs w:val="22"/>
        </w:rPr>
        <w:t xml:space="preserve"> района. При этом разв</w:t>
      </w:r>
      <w:r>
        <w:rPr>
          <w:rFonts w:ascii="Times New Roman" w:hAnsi="Times New Roman" w:cs="Times New Roman"/>
          <w:szCs w:val="22"/>
        </w:rPr>
        <w:t xml:space="preserve">итие малого и среднего предпринимательства рассматривается как один из факторов экономического роста в районе, являющимся главным регулятором занятости экономически активного населения и оказывающим положительное влияние на рост денежных доходов населения.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Продолжение последовательной политики в вопросе поддержки и развития малого и среднего предпринимательства является необходимым фактором для устойчивого развития и увеличения вклада в экономику района.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Основной задачей развития малого и среднего предпринимательства в районе является увеличение вклада малого и среднего предпринимательства в экономику района.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Подпрограммой определены следующие приоритетные для района виды деятельности субъектов малого и среднего предпринимательства: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обрабатывающие производства, переработка сельскохозяйственной продукции;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оказание услуг: бытовых, по техническому обслуживанию и ремонту автотранспортных средств, медицинских, в системе дошкольного воспитания, жилищно-коммунальных, связи, по ремонту вычислительной техники, физической культуры и спорта;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общественное питание;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торговая деятельность в сельских населенных пунктах с численностью населения менее 200 человек;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сельское хозяйство.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Подпрограмма основана на принципе равного доступа всех субъектов предпринимательской деятельности, кооперативов района ко всем инструментам поддержки и предполагает сбалансированное развитие предпринимательства и кооперации в районе.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Исходя из вышеуказанного поставлены</w:t>
      </w:r>
      <w:r>
        <w:rPr>
          <w:rFonts w:ascii="Times New Roman" w:hAnsi="Times New Roman" w:cs="Times New Roman"/>
          <w:szCs w:val="22"/>
        </w:rPr>
        <w:t xml:space="preserve"> задачи Подпрограммы и определены показатели их решения: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Задача 1. Повышение финансовой устойчивости, информационной обеспеченности субъектов малого и среднего предпринимательства.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Показатель 1. Количество субъектов малого и среднего предпринимательства, которым оказана поддержка, ед. за период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Показатель 1. Количество пайщиков в сельскохозяйственных кредитных потребительских кооперативах, ед. за период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Задача 3. Обеспечение рынков сбыта для продукции, произведенной кооперативами и личными подсобными хозяйствами, через развитие заготовительной деятельности.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Показатель 1. Количество субъектов малого и среднего предпринимательства (заготовительных организаций), которым оказана поддержка, ед. за период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Показатель 2. Рост объема сельскохозяйственной продукции, закупленной в ЛПХ, % за период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Показатель 3. Количество ЛПХ, </w:t>
      </w:r>
      <w:r>
        <w:rPr>
          <w:rFonts w:ascii="Times New Roman" w:hAnsi="Times New Roman" w:cs="Times New Roman"/>
          <w:szCs w:val="22"/>
        </w:rPr>
        <w:t xml:space="preserve">вовлеченных</w:t>
      </w:r>
      <w:r>
        <w:rPr>
          <w:rFonts w:ascii="Times New Roman" w:hAnsi="Times New Roman" w:cs="Times New Roman"/>
          <w:szCs w:val="22"/>
        </w:rPr>
        <w:t xml:space="preserve"> в заготовительный процесс, ед. за период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Прогнозные значения показателей представлены в </w:t>
      </w:r>
      <w:hyperlink w:tooltip="#P211" w:anchor="P211" w:history="1">
        <w:r>
          <w:rPr>
            <w:rFonts w:ascii="Times New Roman" w:hAnsi="Times New Roman" w:cs="Times New Roman"/>
            <w:szCs w:val="22"/>
          </w:rPr>
          <w:t xml:space="preserve">приложении 1</w:t>
        </w:r>
      </w:hyperlink>
      <w:r>
        <w:rPr>
          <w:rFonts w:ascii="Times New Roman" w:hAnsi="Times New Roman" w:cs="Times New Roman"/>
          <w:szCs w:val="22"/>
        </w:rPr>
        <w:t xml:space="preserve"> к муниципальной программе.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Поддержка не может оказываться в отношении субъектов малого и среднего предпринимательства, по которым было принято решение об оказании аналогичной поддержки и сроки ее оказания не истекли.</w:t>
      </w:r>
      <w:r/>
    </w:p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Cs w:val="22"/>
        </w:rPr>
        <w:outlineLvl w:val="2"/>
      </w:pPr>
      <w:r>
        <w:rPr>
          <w:rFonts w:ascii="Times New Roman" w:hAnsi="Times New Roman" w:cs="Times New Roman"/>
          <w:b w:val="0"/>
          <w:szCs w:val="22"/>
        </w:rPr>
        <w:t xml:space="preserve">3) Сроки и этапы реализации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Срок реализации Подпрограммы охватывает период 2014 - 2024 годов без выделения этапов.</w:t>
      </w:r>
      <w:r/>
    </w:p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Cs w:val="22"/>
        </w:rPr>
        <w:outlineLvl w:val="2"/>
      </w:pPr>
      <w:r>
        <w:rPr>
          <w:rFonts w:ascii="Times New Roman" w:hAnsi="Times New Roman" w:cs="Times New Roman"/>
          <w:b w:val="0"/>
          <w:szCs w:val="22"/>
        </w:rPr>
        <w:t xml:space="preserve"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  <w:r/>
    </w:p>
    <w:p>
      <w:pPr>
        <w:pStyle w:val="653"/>
        <w:ind w:firstLine="540"/>
        <w:jc w:val="center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Повышение финансовой устойчивости, информационной обеспеченности субъектов малого и среднего предпринимательства.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 "Предоставление субсидий субъектам предпринимательской деятельности". В рамках основного мероприятия реализуются меры поддержки, направленные на развитие малого и среднего предпринимательства в районе: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2135726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предоставление субсидий начинающим субъектам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</w:r>
      <w:bookmarkEnd w:id="2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при соблюдении условий:</w:t>
      </w:r>
      <w:r/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а) предоставление субс</w:t>
      </w:r>
      <w:r>
        <w:rPr>
          <w:sz w:val="24"/>
          <w:szCs w:val="24"/>
          <w:u w:val="single"/>
        </w:rPr>
        <w:t xml:space="preserve">идий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/>
      <w:bookmarkStart w:id="3" w:name="mailruanchor__Hlk21368916"/>
      <w:r>
        <w:rPr>
          <w:sz w:val="22"/>
          <w:szCs w:val="22"/>
        </w:rPr>
        <w:t xml:space="preserve">- одинокие и (или) многодетные родители, воспитывающие несовершеннолетних детей, в том числе детей-инвалидов</w:t>
      </w:r>
      <w:bookmarkEnd w:id="3"/>
      <w:r>
        <w:rPr>
          <w:sz w:val="22"/>
          <w:szCs w:val="22"/>
        </w:rPr>
        <w:t xml:space="preserve">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/>
      <w:bookmarkStart w:id="4" w:name="mailruanchor__Hlk21369034"/>
      <w:r/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граждане </w:t>
      </w:r>
      <w:r>
        <w:rPr>
          <w:sz w:val="22"/>
          <w:szCs w:val="22"/>
        </w:rPr>
        <w:t xml:space="preserve">предпенсионного</w:t>
      </w:r>
      <w:r>
        <w:rPr>
          <w:sz w:val="22"/>
          <w:szCs w:val="22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  <w:bookmarkEnd w:id="4"/>
      <w:r>
        <w:rPr>
          <w:sz w:val="22"/>
          <w:szCs w:val="22"/>
        </w:rPr>
        <w:t xml:space="preserve">;    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r>
        <w:rPr>
          <w:sz w:val="22"/>
          <w:szCs w:val="22"/>
        </w:rPr>
        <w:t xml:space="preserve">предпенсионного</w:t>
      </w:r>
      <w:r>
        <w:rPr>
          <w:sz w:val="22"/>
          <w:szCs w:val="22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/>
      <w:bookmarkStart w:id="5" w:name="mailruanchor_P5"/>
      <w:r/>
      <w:bookmarkEnd w:id="5"/>
      <w:r/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субъекты малого предпринимательства, обеспечивающие  занятость не менее одного человека из следующих категорий: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*   инвалиды и лица с ограниченными возможностями здоровья;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5"/>
        <w:numPr>
          <w:ilvl w:val="0"/>
          <w:numId w:val="1"/>
        </w:numPr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одинокие и (или) многодетные родители, воспитывающие несовершеннолетних детей, в том числе детей-инвалидов;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5"/>
        <w:numPr>
          <w:ilvl w:val="0"/>
          <w:numId w:val="1"/>
        </w:numPr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пенсионеры и граждане </w:t>
      </w:r>
      <w:r>
        <w:rPr>
          <w:sz w:val="22"/>
          <w:szCs w:val="22"/>
        </w:rPr>
        <w:t xml:space="preserve">предпенсионного</w:t>
      </w:r>
      <w:r>
        <w:rPr>
          <w:sz w:val="22"/>
          <w:szCs w:val="22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5"/>
        <w:numPr>
          <w:ilvl w:val="0"/>
          <w:numId w:val="1"/>
        </w:numPr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выпускники детских домов в возрасте до двадцати трех лет;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55"/>
        <w:numPr>
          <w:ilvl w:val="0"/>
          <w:numId w:val="1"/>
        </w:numPr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беженцы и вынужденные переселенцы;</w:t>
      </w:r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/>
      <w:bookmarkStart w:id="6" w:name="mailruanchor_P12"/>
      <w:r/>
      <w:bookmarkEnd w:id="6"/>
      <w:r/>
      <w:r/>
    </w:p>
    <w:p>
      <w:pPr>
        <w:pStyle w:val="655"/>
        <w:ind w:firstLine="540"/>
        <w:spacing w:before="0" w:beforeAutospacing="0" w:after="0" w:afterAutospacing="0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*     граждане, не отнесенные к вышеуказанным категориям, признанные нуждающимися в социальном обслуживании;</w:t>
      </w:r>
      <w:r/>
    </w:p>
    <w:p>
      <w:pPr>
        <w:ind w:firstLine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общий размер субсидии, предоставляемой за счет средств областного бюджета и бюджета муниципального об</w:t>
      </w:r>
      <w:r>
        <w:rPr>
          <w:sz w:val="24"/>
          <w:szCs w:val="24"/>
          <w:u w:val="single"/>
        </w:rPr>
        <w:t xml:space="preserve">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  <w:r/>
    </w:p>
    <w:p>
      <w:pPr>
        <w:ind w:firstLine="5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в) предоставление субсидий после прохождения краткосрочного обучения и при наличии </w:t>
      </w:r>
      <w:r>
        <w:rPr>
          <w:sz w:val="24"/>
          <w:szCs w:val="24"/>
          <w:u w:val="single"/>
        </w:rPr>
        <w:t xml:space="preserve">бизнес-проекта</w:t>
      </w:r>
      <w:r>
        <w:rPr>
          <w:sz w:val="24"/>
          <w:szCs w:val="24"/>
          <w:u w:val="single"/>
        </w:rPr>
        <w:t xml:space="preserve">, оцениваемого комис</w:t>
      </w:r>
      <w:r>
        <w:rPr>
          <w:sz w:val="24"/>
          <w:szCs w:val="24"/>
          <w:u w:val="single"/>
        </w:rPr>
        <w:t xml:space="preserve">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  <w:r/>
    </w:p>
    <w:p>
      <w:pPr>
        <w:ind w:firstLine="540"/>
        <w:rPr>
          <w:u w:val="single"/>
        </w:rPr>
      </w:pPr>
      <w:r>
        <w:rPr>
          <w:sz w:val="24"/>
          <w:szCs w:val="24"/>
          <w:u w:val="single"/>
        </w:rPr>
        <w:t xml:space="preserve">г) размер субсидии на 1 субъект малого предпринимательства не должен превышать 500 тыс. рублей</w:t>
      </w:r>
      <w:r>
        <w:rPr>
          <w:u w:val="single"/>
        </w:rPr>
        <w:t xml:space="preserve">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Основное мероприятие 2  "Проведение мероприятий по информационной обеспеченности и формированию положительного имиджа малого и среднего предпринимательства".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рамках основного мероприятия реализуются меры в сфере создания благоприятных условий для эффективного развития субъектов малого и среднего предпринимательства: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проведение совещаний, семинаров, конференций по вопросам осуществления предпринимательской деятельности  с целью повышения популяризации и акселерации субъектов малого и среднего предпринимательства.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проведение ежегодных праздничных мероприятий, посвященных Дню российского предпринимательства  и Дню работника сельского хозяйства и перерабатывающей промышленности, конкурсов  профессионального мастерства 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Субсидии предоставляются в виде компенсации части произведенных затрат. Получатели субсидий должны осуществлять деятельность по приоритетным направлениям, определенным в </w:t>
      </w:r>
      <w:hyperlink w:tooltip="#P1299" w:anchor="P1299" w:history="1">
        <w:r>
          <w:rPr>
            <w:rFonts w:ascii="Times New Roman" w:hAnsi="Times New Roman" w:cs="Times New Roman"/>
            <w:szCs w:val="22"/>
          </w:rPr>
          <w:t xml:space="preserve">разделе 2</w:t>
        </w:r>
      </w:hyperlink>
      <w:r>
        <w:rPr>
          <w:rFonts w:ascii="Times New Roman" w:hAnsi="Times New Roman" w:cs="Times New Roman"/>
          <w:szCs w:val="22"/>
        </w:rPr>
        <w:t xml:space="preserve"> Подпрограммы.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53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2. Содействие в организации эффективной практической деятельности сельскохозяйственным потребительским кооперативам, в том числе кредитным.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 1  "Поддержка сельскохозяйственных кредитных потребительских кооперативов".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Реализуются меры, направленные на поддержку осуществления деятельности сельскохозяйственных кредитных потребительских кооперативов: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(общий размер субсидии, предоставляемой за счет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затрат, но не более 50 тыс. руб.);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субсидий сельскохозяйственным кредитным потребительским кооператив</w:t>
      </w:r>
      <w:r>
        <w:rPr>
          <w:rFonts w:ascii="Times New Roman" w:hAnsi="Times New Roman" w:cs="Times New Roman"/>
          <w:sz w:val="24"/>
          <w:szCs w:val="24"/>
        </w:rPr>
        <w:t xml:space="preserve">ам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(общи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размер субсидии, предоставляемой за счет средств областного бюджета и бюджета муниципального образования,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взаимопомощи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   размер собственных средств,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включающих в себя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руб. по состоянию на 31 декабря года, предшествующего году предоставления субсидии)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оставление субсидии сельскохозяйственным кредитным потребительским кооперативам на возмещение части затрат по уплате членских взносов в межрегиональную ассоциацию сельскохозяйственных кредитных потребительских  кооперативов "Единство" (МА СКПК "Единство")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(общий размер субсидии, предоставляемой за счет средств областного бюджет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«Единство» (далее - МА СКПК «Единство»);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субсидии сельскохозяйственным кредитным потребительским кооперативам на возмещение  затрат на обеспечение элек</w:t>
      </w:r>
      <w:r>
        <w:rPr>
          <w:rFonts w:ascii="Times New Roman" w:hAnsi="Times New Roman" w:cs="Times New Roman"/>
          <w:sz w:val="24"/>
          <w:szCs w:val="24"/>
        </w:rPr>
        <w:t xml:space="preserve">тронного  документооборота по предоставлению отчетности в Банках России 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"Учет в </w:t>
      </w:r>
      <w:r>
        <w:rPr>
          <w:rFonts w:ascii="Times New Roman" w:hAnsi="Times New Roman" w:cs="Times New Roman"/>
          <w:sz w:val="24"/>
          <w:szCs w:val="24"/>
        </w:rPr>
        <w:t xml:space="preserve">микрофинансовых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(общий размер субсидии сельскохозяйственному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кредитному потребительскому кооперати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ву, предоставляемой за счет средств областного бюджета и бюджета муниципального образования, не может превышать: на приобретение компьютерной техники и/или лицензионного программного обеспечения 100 тыс. руб.; на обслуживание программных продуктов «Учет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микрофинансовых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», «1С Бухгалтерия» 30 тыс. руб.).</w:t>
      </w:r>
      <w:r/>
    </w:p>
    <w:p>
      <w:pPr>
        <w:pStyle w:val="653"/>
        <w:ind w:firstLine="540"/>
        <w:jc w:val="both"/>
        <w:spacing w:before="220"/>
        <w:tabs>
          <w:tab w:val="left" w:pos="150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Финансирование мер, направленных на поддержку осуществления деятельности сельскохозяйственных кредитных потребительских кооперативов</w:t>
      </w:r>
      <w:r/>
    </w:p>
    <w:tbl>
      <w:tblPr>
        <w:tblpPr w:horzAnchor="margin" w:tblpXSpec="center" w:vertAnchor="text" w:tblpY="224" w:leftFromText="180" w:topFromText="0" w:rightFromText="180" w:bottomFromText="0"/>
        <w:tblW w:w="10040" w:type="dxa"/>
        <w:tblLook w:val="04A0" w:firstRow="1" w:lastRow="0" w:firstColumn="1" w:lastColumn="0" w:noHBand="0" w:noVBand="1"/>
      </w:tblPr>
      <w:tblGrid>
        <w:gridCol w:w="5360"/>
        <w:gridCol w:w="680"/>
        <w:gridCol w:w="800"/>
        <w:gridCol w:w="800"/>
        <w:gridCol w:w="800"/>
        <w:gridCol w:w="800"/>
        <w:gridCol w:w="800"/>
      </w:tblGrid>
      <w:tr>
        <w:trPr>
          <w:trHeight w:val="192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6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финансирования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textDirection w:val="lrTb"/>
            <w:noWrap w:val="false"/>
          </w:tcPr>
          <w:p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16</w:t>
            </w:r>
            <w:r/>
          </w:p>
        </w:tc>
      </w:tr>
      <w:tr>
        <w:trPr>
          <w:trHeight w:val="7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Merge w:val="restart"/>
            <w:textDirection w:val="lrTb"/>
            <w:noWrap w:val="false"/>
          </w:tcPr>
          <w:p>
            <w:r>
              <w:t xml:space="preserve">субсидии сельскохозяйственным кредитным потребительским кооперативам на возмещение части затрат по уплате членских взносов в межрегиональную ассоциацию сельскохозяйственных кредитных потребительских  кооперативов "Единство" 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МБ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27,0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26,2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21,1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28,1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16,1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ОБ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83,0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сельскохозяйственным кредитным потребительским кооперативам на возмещение  затрат на обеспечение элек</w:t>
            </w:r>
            <w:r>
              <w:rPr>
                <w:sz w:val="18"/>
                <w:szCs w:val="18"/>
              </w:rPr>
              <w:t xml:space="preserve">тронного  документооборота по предоставлению отчетности в Банках России 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"Учет в </w:t>
            </w:r>
            <w:r>
              <w:rPr>
                <w:sz w:val="18"/>
                <w:szCs w:val="18"/>
              </w:rPr>
              <w:t xml:space="preserve">микрофинансовых</w:t>
            </w:r>
            <w:r>
              <w:rPr>
                <w:sz w:val="18"/>
                <w:szCs w:val="18"/>
              </w:rPr>
              <w:t xml:space="preserve"> организациях" и "1С Бухгалтерия", связанных с ведением бухгалтерского учета в сельскохозяйственных кредитных потребительских кооперативах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МБ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10,0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ОБ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108,8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145,0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138,0</w:t>
            </w:r>
            <w:r/>
          </w:p>
        </w:tc>
      </w:tr>
      <w:tr>
        <w:trPr>
          <w:trHeight w:val="8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Merge w:val="restart"/>
            <w:textDirection w:val="lrTb"/>
            <w:noWrap w:val="false"/>
          </w:tcPr>
          <w:p>
            <w: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  <w:r>
              <w:rPr>
                <w:bCs/>
                <w:i/>
                <w:iCs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МБ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9,1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10,7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8,9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17,9</w:t>
            </w:r>
            <w:r/>
          </w:p>
        </w:tc>
      </w:tr>
      <w:tr>
        <w:trPr>
          <w:trHeight w:val="7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ОБ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104,8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109,6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123,5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102,2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200,0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Merge w:val="restart"/>
            <w:textDirection w:val="lrTb"/>
            <w:noWrap w:val="false"/>
          </w:tcPr>
          <w:p>
            <w:r>
              <w:t xml:space="preserve">Субсидии сельскохозяйственным кредитным потребительским кооперати</w:t>
            </w:r>
            <w:r>
              <w:t xml:space="preserve">вам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МБ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15,6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10,4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16,0</w:t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btLr"/>
            <w:noWrap w:val="false"/>
          </w:tcPr>
          <w:p>
            <w:pPr>
              <w:jc w:val="center"/>
            </w:pPr>
            <w:r>
              <w:t xml:space="preserve">ОБ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149,0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120,0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179,0</w:t>
            </w:r>
            <w:r/>
          </w:p>
        </w:tc>
      </w:tr>
    </w:tbl>
    <w:p>
      <w:pPr>
        <w:pStyle w:val="653"/>
        <w:ind w:firstLine="540"/>
        <w:jc w:val="center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Задаача</w:t>
      </w:r>
      <w:r>
        <w:rPr>
          <w:rFonts w:ascii="Times New Roman" w:hAnsi="Times New Roman" w:cs="Times New Roman"/>
          <w:sz w:val="24"/>
          <w:szCs w:val="24"/>
        </w:rPr>
        <w:t xml:space="preserve"> 3. Содействие в обеспечение рынков сбыта для продукции, произведенной кооперативами и личными подсобными хозяйствами за счет создания условий для развития заготовительной деятельности.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Основное мероприятие 1 "Предоставление субсидий на организацию и развитие заготовительной деятельности".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Реализуются меры, направленные на развитие заготовительной деятельности в районе: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предоставление субсидий для стимулирования заготовительной деятельности и (или) первичной переработки сельскохозяйственной продукции (компенсация затрат, </w:t>
      </w:r>
      <w:r>
        <w:rPr>
          <w:rFonts w:ascii="Times New Roman" w:hAnsi="Times New Roman" w:cs="Times New Roman"/>
          <w:szCs w:val="22"/>
        </w:rPr>
        <w:t xml:space="preserve">связанных с приобретение автомобильного топлива для организации развозной торговли, приобретение грузового и специализированного автотранспорта; приобретение оборудования, необходимого для заготовки, хранения и первичной переработки закупленной продукции).</w:t>
      </w:r>
      <w:r/>
    </w:p>
    <w:p>
      <w:pPr>
        <w:pStyle w:val="65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Cs w:val="22"/>
        </w:rPr>
        <w:outlineLvl w:val="2"/>
      </w:pPr>
      <w:r>
        <w:rPr>
          <w:rFonts w:ascii="Times New Roman" w:hAnsi="Times New Roman" w:cs="Times New Roman"/>
          <w:b w:val="0"/>
          <w:szCs w:val="22"/>
        </w:rPr>
        <w:t xml:space="preserve">5) Обоснование объема финансовых ресурсов, необходимых для реализации.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Общий объем финансирования мероприятий Подпрограммы в 2014 - 2024 гг. предположительно составит всего </w:t>
      </w:r>
      <w:r>
        <w:rPr>
          <w:rFonts w:ascii="Times New Roman" w:hAnsi="Times New Roman" w:cs="Times New Roman"/>
          <w:sz w:val="24"/>
          <w:szCs w:val="24"/>
        </w:rPr>
        <w:t xml:space="preserve">11023,61</w:t>
      </w:r>
      <w:r>
        <w:rPr>
          <w:rFonts w:ascii="Times New Roman" w:hAnsi="Times New Roman" w:cs="Times New Roman"/>
          <w:szCs w:val="22"/>
        </w:rPr>
        <w:t xml:space="preserve">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1964,5</w:t>
      </w:r>
      <w:r>
        <w:rPr>
          <w:rFonts w:ascii="Times New Roman" w:hAnsi="Times New Roman" w:cs="Times New Roman"/>
          <w:szCs w:val="22"/>
        </w:rPr>
        <w:t xml:space="preserve">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</w:t>
      </w:r>
      <w:r>
        <w:rPr>
          <w:rFonts w:ascii="Times New Roman" w:hAnsi="Times New Roman" w:cs="Times New Roman"/>
          <w:sz w:val="24"/>
          <w:szCs w:val="24"/>
        </w:rPr>
        <w:t xml:space="preserve">7368,13</w:t>
      </w:r>
      <w:r>
        <w:rPr>
          <w:rFonts w:ascii="Times New Roman" w:hAnsi="Times New Roman" w:cs="Times New Roman"/>
          <w:szCs w:val="22"/>
        </w:rPr>
        <w:t xml:space="preserve">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- 1420,98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Из них по годам: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2014 год 2254,41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263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1181,83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809,58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2015 год 1438,5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145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819,5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474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2016 год 1864,7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145,9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1581,4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137,4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2017 год 1302,9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319,0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983,9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2018 год 271,0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74,4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196,6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2019 год 452,7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77,7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375,0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2020 год 540,1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94,5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445,6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2021 год 567,6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95,0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472,6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2022 год 626,5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95,0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531,5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2023 год 545,2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95,0тыс.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450,2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2024 год 1160,0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муниципального района 560,0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счет средств бюджета Липецкой области 600,0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за счет средств федерального бюджета 0 тыс. руб.</w:t>
      </w:r>
      <w:bookmarkStart w:id="7" w:name="P1408"/>
      <w:r/>
      <w:bookmarkEnd w:id="7"/>
      <w:r/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 w:val="24"/>
          <w:szCs w:val="24"/>
        </w:rPr>
        <w:outlineLvl w:val="1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2 муниципальной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Краснинского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"Повышение качества торгового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бытового обслуживания сельского населения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Краснинского</w:t>
      </w:r>
      <w:r/>
    </w:p>
    <w:p>
      <w:pPr>
        <w:pStyle w:val="65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Липецкой области на 2014 - 2024 годы"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трудовых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Равномерное, конкурентоспособное и эффективное развитие торговой отрасли и сфер общественного питания, бытового обслуживания по всей территории района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торговыми площадями.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хозяйствующих субъектов частной формы собственности в общем количестве хозяйствующих субъектов в сфере торгового и бытового обслуживания населения.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Подпрограммы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организации развозной торговли и бытового обслуживания населения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Подпрограммы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хозяйствующих субъектов, получивших поддержку, ед.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населенных пунктов, не имеющих стационарной торговой сети, в которых организована развозная торговля, %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оборота розничной торговли в сельской местности к предыдущему году, %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объема бытовых услуг в сельской местности к предыдущему году, %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2014 - 2024 годы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за счет средств районного бюджета всего, в том числе по годам реализации Подпрограммы</w:t>
            </w:r>
            <w:r/>
          </w:p>
        </w:tc>
        <w:tc>
          <w:tcPr>
            <w:tcBorders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связанные с реализацией Подпрограммы, финансируемые за счет средств бюджета муниципального района, предположительно составят всего 1080,8 тыс. руб., из них: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год - 115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- 130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- 58,9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- 64,5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- 45,7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141,7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65,0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115,0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115,0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115,0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115,0 тыс. руб.</w:t>
            </w:r>
            <w:r/>
          </w:p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Подпрограммы являются средства бюджета муниципального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pStyle w:val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</w:t>
            </w:r>
            <w:r/>
          </w:p>
        </w:tc>
        <w:tc>
          <w:tcPr>
            <w:tcW w:w="5953" w:type="dxa"/>
            <w:textDirection w:val="lrTb"/>
            <w:noWrap w:val="false"/>
          </w:tcPr>
          <w:p>
            <w:pPr>
              <w:pStyle w:val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прирост оборота розничной торговли и бытовых услуг в сельской местности не менее 5% </w:t>
            </w:r>
            <w:r/>
          </w:p>
        </w:tc>
      </w:tr>
    </w:tbl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Характеристика текущего состояния, в том числе формулировки основных проблем, анализ социальных, финансово-экономических и прочих рисков в сфере развития малого и среднего предпринимательства и малых форм хозяйствования района.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годы на потребительском рынке происходят позитивные изменения. Сегодня это один из стремительно растущих сегментов экономики, который характе</w:t>
      </w:r>
      <w:r>
        <w:rPr>
          <w:rFonts w:ascii="Times New Roman" w:hAnsi="Times New Roman" w:cs="Times New Roman"/>
          <w:sz w:val="24"/>
          <w:szCs w:val="24"/>
        </w:rPr>
        <w:t xml:space="preserve">ризуется устойчивыми ежегодными темпами наращивания объемов продаж и предоставляемых услуг. Улучшается качество обслуживания населения, расширяется диапазон предлагаемых услуг, открываются предприятия новых форматов, создаются дополнительные рабочие места.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развивается материально-техническая база сферы потребительского рынка - ежегодно вводится более 50 кв. м торговых площадей.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сфере потребительского рынка сохраняется ряд проблем. В районе </w:t>
      </w:r>
      <w:r>
        <w:rPr>
          <w:rFonts w:ascii="Times New Roman" w:hAnsi="Times New Roman" w:cs="Times New Roman"/>
          <w:sz w:val="24"/>
          <w:szCs w:val="24"/>
        </w:rPr>
        <w:t xml:space="preserve">около 50 населенных пунктов не имеют стационарных торговых предприятий, имеется только 13 комплексных приемных пунктов. Обеспечить жителей этих сел торговыми и бытовыми услугами возможно только через организацию развозной торговли и выездного обслуживания.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удаленность от районного центра и малая численность жителей делает наиболее приемлемой выездную форму обслуживания населения. Однако и она требует значит</w:t>
      </w:r>
      <w:r>
        <w:rPr>
          <w:rFonts w:ascii="Times New Roman" w:hAnsi="Times New Roman" w:cs="Times New Roman"/>
          <w:sz w:val="24"/>
          <w:szCs w:val="24"/>
        </w:rPr>
        <w:t xml:space="preserve">ельных финансовых затрат (расход горюче-смазочных материалов, заработная плата водителя и продавца и т.д.), которые не окупаются из-за небольших объемов розничного оборота и количества заказов бытовых услуг в связи с недостаточным платежеспособным спросом.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динамично развивается бытовое обслуживание населения. Сохранена сеть комплексных приемных пунктов. Применяются новые формы обслуживания, расширяется перечень оказываемых бытовых услуг.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 селе не на всех комплексных приемных пунктах имеются возможности оказания таких видов услуг, как сложный ремонт бытовой техники,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телерадиоаппаратуры</w:t>
      </w:r>
      <w:r>
        <w:rPr>
          <w:rFonts w:ascii="Times New Roman" w:hAnsi="Times New Roman" w:cs="Times New Roman"/>
          <w:sz w:val="24"/>
          <w:szCs w:val="24"/>
        </w:rPr>
        <w:t xml:space="preserve">, пошив обуви, ремонт трикотажных изделий, ус</w:t>
      </w:r>
      <w:r>
        <w:rPr>
          <w:rFonts w:ascii="Times New Roman" w:hAnsi="Times New Roman" w:cs="Times New Roman"/>
          <w:sz w:val="24"/>
          <w:szCs w:val="24"/>
        </w:rPr>
        <w:t xml:space="preserve">луги химчистки и другие. Вместе с тем эти виды услуг востребованы. Для расширения их перечня, обеспечения доступности бытовых услуг населению необходима организация доставки заказов для исполнения их в специализированных предприятиях г. Липецка и г. Ельца.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указанных проблем предусматривается возмещение части затрат на приобретение специализированного автотранспорта и субсидирование затрат по доставке товаров и заказов в сельские населенные пункты.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</w:t>
      </w:r>
      <w:r>
        <w:rPr>
          <w:rFonts w:ascii="Times New Roman" w:hAnsi="Times New Roman" w:cs="Times New Roman"/>
          <w:sz w:val="24"/>
          <w:szCs w:val="24"/>
        </w:rPr>
        <w:t xml:space="preserve">вшееся размещение объектов торгового и бытового обслуживания не полностью отвечает потребностям населения. Торговые предприятия в основном размещаются в районном центре. Проблема территориальной доступности товаров и услуг в сельской местности сохраняется.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проблемы поможет решить приобретение легких конструкций, нестационарных объектов торгового и бытового обслуживания, что будет способствовать укреплению материально-технической базы предприятий потребительского рынка, 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расширению ассортимента предлагаемых товаров и услуг, следовательно, увеличению объемов розничного оборота, бытовых услуг, снижению диспропорций в обеспечении городских и сельских жителей.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Подпрограммы позволит сохранить стабильность функционирования потребительского рынка района и увеличить </w:t>
      </w:r>
      <w:r>
        <w:rPr>
          <w:rFonts w:ascii="Times New Roman" w:hAnsi="Times New Roman" w:cs="Times New Roman"/>
          <w:sz w:val="24"/>
          <w:szCs w:val="24"/>
        </w:rPr>
        <w:t xml:space="preserve">объемы развозного оборота, обеспечить территориальную и ценовую доступность торговых и бытовых услуг для сельского населения, повысить уровень жизни сельского населения, развить инфраструктуру сферы потребительского рынка, организовать новые рабочие места.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Сдерживают развитие торговой деятельности и бытового обслуживания в сельских населенных пунктах следующие факторы: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обеспечение стационарными объектами потребительского рынка малочисленных и отдаленных сельских поселений в связи с незначительным объемом розничного товарооборота;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комплексных приемных пунктов по бытовому обслуживанию населения только на центральных усадьбах сельских поселений;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финансовых ресурсов на приобретение специализированного автотранспорта, необходимого для осуществления развозной торговли в сельских населенных пунктах.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Подпрограммы можно отнести: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неполное использование субъектами предпринимательской деятельности муниципальной поддержки;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невыполнение обязательств по реализации мероприятий Подпрограммы получателями поддержки.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мерам минимизации влияния рисков относятся: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Своевременное внесение изменений в состав основных мероприятий Подпрограммы,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Осуществление постоянного мониторинга за ходом реализации мероприятий и целевым использованием средств муниципальной поддержки.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выполнения индикаторов (показателей) на всех стадиях реализации Подпрограммы.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Приоритеты муниципальной политики в сфере реализации Подпрограммы, задачи, описание показателей задач Подпрограммы.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приоритетов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в сфере потребительского рынка определены: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бесперебойной доставки товаров и бытовых услуг до потребителей в достаточном объеме и ассортименте;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комплекса мер, направленных на повышение экономической и территориальной доступности товаров, повышение качества и культуры торгового сервиса для населения района, обеспечение качества и безопасности товаров.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потенциал развития потребительского рынка </w:t>
      </w:r>
      <w:r>
        <w:rPr>
          <w:rFonts w:ascii="Times New Roman" w:hAnsi="Times New Roman" w:cs="Times New Roman"/>
          <w:sz w:val="24"/>
          <w:szCs w:val="24"/>
        </w:rPr>
        <w:t xml:space="preserve">Краснинского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реализован недостаточно. Подпрограмма является инструментом для улучшения сложившейся ситуации и создания условий для его дальнейшего развития.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основана на принципе равного доступа всех субъектов предпринимательской деятельности ко всем инструментам поддержки и предполагает сбалансированное развитие потребительского рынка и бытового обслуживания в районе.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вышеуказанного, определены показатели решения задачи Подпрограммы: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Задача. Обеспечение условий для организации развозной торговли и бытового обслуживания населения.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1. Количество хозяйствующих субъектов, получивших поддержку, ед.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 Доля населенных пунктов, не имеющих стационарной торговой сети, в которых организована развозная торговля, 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3. Прирост оборота розничной торговли в сельской местности к предыдущему году, %.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4. Прирост объема бытовых услуг в сельской местности к предыдущему году, %.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Сроки и этапы реализации Подпрограммы.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 охватывает период 2014 - 2024 годов без выделения этапов.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Обеспечение условий для организации развозной торговли и бытового обслуживания населения.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 "Предоставление субсидий на компенсацию затрат юридическим лицам и индивидуальным предпринимателям, осуществляющими торговое и бытовое обслуживание в сельских населенных пунктах, кроме районных центров".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реализуются меры поддержки, направленные на развитие потребительского рынка и оказания бытовых услуг сельскому населению района и на приобретение: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грузового специализированного автотранспорта отечественного производства, не находящегося в эксплуатации, - автолавок (автомобил</w:t>
      </w:r>
      <w:r>
        <w:rPr>
          <w:rFonts w:ascii="Times New Roman" w:hAnsi="Times New Roman" w:cs="Times New Roman"/>
          <w:sz w:val="24"/>
          <w:szCs w:val="24"/>
        </w:rPr>
        <w:t xml:space="preserve">ей, оборудованных для организации развозной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 (далее - специализированный автотранспорт);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автомобильного топлива для организации развозной торговли в сельских населенных пункт</w:t>
      </w:r>
      <w:r>
        <w:rPr>
          <w:rFonts w:ascii="Times New Roman" w:hAnsi="Times New Roman" w:cs="Times New Roman"/>
          <w:sz w:val="24"/>
          <w:szCs w:val="24"/>
        </w:rPr>
        <w:t xml:space="preserve">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км, сбора и доставки заказов сельского населения при оказании бытовых услуг;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</w:t>
      </w:r>
      <w:r>
        <w:rPr>
          <w:rFonts w:ascii="Times New Roman" w:hAnsi="Times New Roman" w:cs="Times New Roman"/>
          <w:sz w:val="24"/>
          <w:szCs w:val="24"/>
        </w:rPr>
        <w:t xml:space="preserve">ота алкогольной продукции в единую государственную автоматизированную информационную систему, не находящегося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нестационарных объектов для оказания торговых и бытовых услуг (мобильных (сборно-разборных, модульных) торговых киосков, павильонов, бытовок), ра</w:t>
      </w:r>
      <w:r>
        <w:rPr>
          <w:rFonts w:ascii="Times New Roman" w:hAnsi="Times New Roman" w:cs="Times New Roman"/>
          <w:sz w:val="24"/>
          <w:szCs w:val="24"/>
        </w:rPr>
        <w:t xml:space="preserve">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км (далее - нестационарные объекты для оказания торговых и бытовых услуг).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выделяются субсидии на создание условий для обеспечения услугами торговли и бытового обслуживания поселений, входящих в состав муниципального района.</w:t>
      </w:r>
      <w:r/>
    </w:p>
    <w:p>
      <w:pPr>
        <w:pStyle w:val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  <w:outlineLvl w:val="2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5) Обоснование объема финансовых ресурсов, необходимых для реализации.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Подпрограммы в 2014 - 2024 гг. предположительно составит всего 6989,67 тыс. руб.,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1080,8 тыс. руб.;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5908,87 тыс. руб.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по годам: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466,27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115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351,27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 967,5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130,0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837,5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493,3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58,9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434,4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537,1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64,5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472,6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456,5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45,7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410,8 тыс. рублей.</w:t>
      </w:r>
      <w:r/>
    </w:p>
    <w:p>
      <w:pPr>
        <w:pStyle w:val="653"/>
        <w:ind w:firstLine="540"/>
        <w:jc w:val="both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1177,4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141,7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1035,7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509,0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65,0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 444,0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350,8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115,0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235,8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1036,4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115,0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921,4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440,4 тыс. рублей, в том числе: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115,0 тыс. рублей,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Липецкой области 325,4 тыс. рублей.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555,0 тыс. рублей, в том числе: </w:t>
      </w:r>
      <w:r/>
    </w:p>
    <w:p>
      <w:pPr>
        <w:pStyle w:val="65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115,0 тыс. рублей,</w:t>
      </w:r>
      <w:r/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за счет средств бюджета Липецкой области 440,0 тыс. рублей</w:t>
      </w:r>
      <w:r/>
    </w:p>
    <w:p>
      <w:pPr>
        <w:tabs>
          <w:tab w:val="left" w:pos="658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94" w:right="851" w:bottom="85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6"/>
    <w:next w:val="63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39"/>
    <w:link w:val="63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39"/>
    <w:link w:val="638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6"/>
    <w:next w:val="63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6"/>
    <w:next w:val="63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6"/>
    <w:next w:val="63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6"/>
    <w:next w:val="63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9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39"/>
    <w:link w:val="644"/>
    <w:uiPriority w:val="10"/>
    <w:rPr>
      <w:sz w:val="48"/>
      <w:szCs w:val="48"/>
    </w:rPr>
  </w:style>
  <w:style w:type="paragraph" w:styleId="34">
    <w:name w:val="Subtitle"/>
    <w:basedOn w:val="636"/>
    <w:next w:val="63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9"/>
    <w:link w:val="34"/>
    <w:uiPriority w:val="11"/>
    <w:rPr>
      <w:sz w:val="24"/>
      <w:szCs w:val="24"/>
    </w:rPr>
  </w:style>
  <w:style w:type="paragraph" w:styleId="36">
    <w:name w:val="Quote"/>
    <w:basedOn w:val="636"/>
    <w:next w:val="63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6"/>
    <w:next w:val="63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9"/>
    <w:link w:val="649"/>
    <w:uiPriority w:val="99"/>
  </w:style>
  <w:style w:type="character" w:styleId="43">
    <w:name w:val="Footer Char"/>
    <w:basedOn w:val="639"/>
    <w:link w:val="651"/>
    <w:uiPriority w:val="99"/>
  </w:style>
  <w:style w:type="paragraph" w:styleId="44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1"/>
    <w:uiPriority w:val="99"/>
  </w:style>
  <w:style w:type="table" w:styleId="46">
    <w:name w:val="Table Grid"/>
    <w:basedOn w:val="64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9"/>
    <w:uiPriority w:val="99"/>
    <w:unhideWhenUsed/>
    <w:rPr>
      <w:vertAlign w:val="superscript"/>
    </w:rPr>
  </w:style>
  <w:style w:type="paragraph" w:styleId="176">
    <w:name w:val="endnote text"/>
    <w:basedOn w:val="63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9"/>
    <w:uiPriority w:val="99"/>
    <w:semiHidden/>
    <w:unhideWhenUsed/>
    <w:rPr>
      <w:vertAlign w:val="superscript"/>
    </w:rPr>
  </w:style>
  <w:style w:type="paragraph" w:styleId="179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pPr>
      <w:spacing w:after="0" w:line="240" w:lineRule="auto"/>
      <w:widowControl w:val="off"/>
    </w:pPr>
    <w:rPr>
      <w:rFonts w:ascii="Times New Roman" w:hAnsi="Times New Roman"/>
      <w:sz w:val="20"/>
      <w:szCs w:val="20"/>
      <w:lang w:eastAsia="ru-RU"/>
    </w:rPr>
  </w:style>
  <w:style w:type="paragraph" w:styleId="637">
    <w:name w:val="Heading 2"/>
    <w:basedOn w:val="636"/>
    <w:next w:val="636"/>
    <w:link w:val="642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8">
    <w:name w:val="Heading 3"/>
    <w:basedOn w:val="636"/>
    <w:link w:val="643"/>
    <w:uiPriority w:val="9"/>
    <w:qFormat/>
    <w:pPr>
      <w:spacing w:before="100" w:beforeAutospacing="1" w:after="100" w:afterAutospacing="1"/>
      <w:widowControl/>
      <w:outlineLvl w:val="2"/>
    </w:pPr>
    <w:rPr>
      <w:rFonts w:cs="Times New Roman" w:eastAsia="Times New Roman"/>
      <w:b/>
      <w:bCs/>
      <w:sz w:val="27"/>
      <w:szCs w:val="27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Заголовок 2 Знак"/>
    <w:basedOn w:val="639"/>
    <w:link w:val="637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643" w:customStyle="1">
    <w:name w:val="Заголовок 3 Знак"/>
    <w:basedOn w:val="639"/>
    <w:link w:val="638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44">
    <w:name w:val="Title"/>
    <w:basedOn w:val="636"/>
    <w:link w:val="645"/>
    <w:qFormat/>
    <w:pPr>
      <w:jc w:val="center"/>
      <w:widowControl/>
    </w:pPr>
    <w:rPr>
      <w:rFonts w:cs="Times New Roman" w:eastAsia="Times New Roman"/>
      <w:sz w:val="28"/>
    </w:rPr>
  </w:style>
  <w:style w:type="character" w:styleId="645" w:customStyle="1">
    <w:name w:val="Название Знак"/>
    <w:basedOn w:val="639"/>
    <w:link w:val="64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46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47">
    <w:name w:val="List Paragraph"/>
    <w:basedOn w:val="636"/>
    <w:link w:val="648"/>
    <w:uiPriority w:val="34"/>
    <w:qFormat/>
    <w:pPr>
      <w:contextualSpacing/>
      <w:ind w:left="720"/>
      <w:widowControl/>
    </w:pPr>
    <w:rPr>
      <w:rFonts w:cs="Times New Roman" w:eastAsia="Times New Roman"/>
      <w:sz w:val="24"/>
      <w:szCs w:val="24"/>
      <w:lang w:eastAsia="en-US"/>
    </w:rPr>
  </w:style>
  <w:style w:type="character" w:styleId="648" w:customStyle="1">
    <w:name w:val="Абзац списка Знак"/>
    <w:link w:val="647"/>
    <w:uiPriority w:val="34"/>
    <w:rPr>
      <w:rFonts w:ascii="Times New Roman" w:hAnsi="Times New Roman" w:cs="Times New Roman" w:eastAsia="Times New Roman"/>
      <w:sz w:val="24"/>
      <w:szCs w:val="24"/>
    </w:rPr>
  </w:style>
  <w:style w:type="paragraph" w:styleId="649">
    <w:name w:val="Header"/>
    <w:basedOn w:val="636"/>
    <w:link w:val="6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50" w:customStyle="1">
    <w:name w:val="Верхний колонтитул Знак"/>
    <w:basedOn w:val="639"/>
    <w:link w:val="649"/>
    <w:uiPriority w:val="99"/>
    <w:semiHidden/>
    <w:rPr>
      <w:rFonts w:ascii="Times New Roman" w:hAnsi="Times New Roman"/>
      <w:sz w:val="20"/>
      <w:szCs w:val="20"/>
      <w:lang w:eastAsia="ru-RU"/>
    </w:rPr>
  </w:style>
  <w:style w:type="paragraph" w:styleId="651">
    <w:name w:val="Footer"/>
    <w:basedOn w:val="636"/>
    <w:link w:val="65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52" w:customStyle="1">
    <w:name w:val="Нижний колонтитул Знак"/>
    <w:basedOn w:val="639"/>
    <w:link w:val="651"/>
    <w:uiPriority w:val="99"/>
    <w:semiHidden/>
    <w:rPr>
      <w:rFonts w:ascii="Times New Roman" w:hAnsi="Times New Roman"/>
      <w:sz w:val="20"/>
      <w:szCs w:val="20"/>
      <w:lang w:eastAsia="ru-RU"/>
    </w:rPr>
  </w:style>
  <w:style w:type="paragraph" w:styleId="6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654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  <w:lang w:eastAsia="ru-RU"/>
    </w:rPr>
  </w:style>
  <w:style w:type="paragraph" w:styleId="655" w:customStyle="1">
    <w:name w:val="msonormal_mailru_css_attribute_postfix"/>
    <w:basedOn w:val="636"/>
    <w:pPr>
      <w:spacing w:before="100" w:beforeAutospacing="1" w:after="100" w:afterAutospacing="1"/>
      <w:widowControl/>
    </w:pPr>
    <w:rPr>
      <w:rFonts w:cs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0A4845331B370A31A6D807CE77B1754F796CABD3339A2CA9B303D9807FFBBB8211197C54408CDBFC554F0591D9E10D2350F510BA4B3D401F20861B19e4O" TargetMode="External"/><Relationship Id="rId10" Type="http://schemas.openxmlformats.org/officeDocument/2006/relationships/hyperlink" Target="consultantplus://offline/ref=0A4845331B370A31A6D807CE77B1754F796CABD3329F21A9B103D9807FFBBB8211197C54408CDBFC554F0591D9E10D2350F510BA4B3D401F20861B19e4O" TargetMode="External"/><Relationship Id="rId11" Type="http://schemas.openxmlformats.org/officeDocument/2006/relationships/hyperlink" Target="consultantplus://offline/ref=0A4845331B370A31A6D807CE77B1754F796CABD332972BA5B103D9807FFBBB8211197C54408CDBFC554F0591D9E10D2350F510BA4B3D401F20861B19e4O" TargetMode="External"/><Relationship Id="rId12" Type="http://schemas.openxmlformats.org/officeDocument/2006/relationships/hyperlink" Target="consultantplus://offline/ref=0A4845331B370A31A6D807CE77B1754F796CABD33D9E28A1B703D9807FFBBB8211197C54408CDBFC554F0591D9E10D2350F510BA4B3D401F20861B19e4O" TargetMode="External"/><Relationship Id="rId13" Type="http://schemas.openxmlformats.org/officeDocument/2006/relationships/hyperlink" Target="consultantplus://offline/ref=0A4845331B370A31A6D807CE77B1754F796CABD332962DA1B203D9807FFBBB8211197C54408CDBFC554F0591D9E10D2350F510BA4B3D401F20861B19e4O" TargetMode="External"/><Relationship Id="rId14" Type="http://schemas.openxmlformats.org/officeDocument/2006/relationships/hyperlink" Target="consultantplus://offline/ref=0A4845331B370A31A6D807CE77B1754F796CABD33D9F2CA0B603D9807FFBBB8211197C54408CDBFC554F0591D9E10D2350F510BA4B3D401F20861B19e4O" TargetMode="External"/><Relationship Id="rId15" Type="http://schemas.openxmlformats.org/officeDocument/2006/relationships/hyperlink" Target="consultantplus://offline/ref=0A4845331B370A31A6D807CE77B1754F796CABD33D9A2FA5B303D9807FFBBB8211197C54408CDBFC554F0591D9E10D2350F510BA4B3D401F20861B19e4O" TargetMode="External"/><Relationship Id="rId16" Type="http://schemas.openxmlformats.org/officeDocument/2006/relationships/hyperlink" Target="consultantplus://offline/ref=0A4845331B370A31A6D807CE77B1754F796CABD33C9E29A3B703D9807FFBBB8211197C54408CDBFC554F0591D9E10D2350F510BA4B3D401F20861B19e4O" TargetMode="External"/><Relationship Id="rId17" Type="http://schemas.openxmlformats.org/officeDocument/2006/relationships/hyperlink" Target="consultantplus://offline/ref=0A4845331B370A31A6D807CE77B1754F796CABD33C9E2BA9B103D9807FFBBB8211197C54408CDBFC554F0591D9E10D2350F510BA4B3D401F20861B19e4O" TargetMode="External"/><Relationship Id="rId18" Type="http://schemas.openxmlformats.org/officeDocument/2006/relationships/hyperlink" Target="consultantplus://offline/ref=0A4845331B370A31A6D807CE77B1754F796CABD33C9C29A0B103D9807FFBBB8211197C54408CDBFC554F0591D9E10D2350F510BA4B3D401F20861B19e4O" TargetMode="External"/><Relationship Id="rId19" Type="http://schemas.openxmlformats.org/officeDocument/2006/relationships/hyperlink" Target="consultantplus://offline/ref=0A4845331B370A31A6D807CE77B1754F796CABD33C9A20A6B503D9807FFBBB8211197C54408CDBFC554F0591D9E10D2350F510BA4B3D401F20861B19e4O" TargetMode="External"/><Relationship Id="rId20" Type="http://schemas.openxmlformats.org/officeDocument/2006/relationships/hyperlink" Target="consultantplus://offline/ref=0A4845331B370A31A6D807CE77B1754F796CABD33C9720A2B103D9807FFBBB8211197C54408CDBFC554F0591D9E10D2350F510BA4B3D401F20861B19e4O" TargetMode="External"/><Relationship Id="rId21" Type="http://schemas.openxmlformats.org/officeDocument/2006/relationships/hyperlink" Target="consultantplus://offline/ref=0A4845331B370A31A6D807CE77B1754F796CABD3369B21A1B303D9807FFBBB8211197C54408CDBFC554F059DD9E10D2350F510BA4B3D401F20861B19e4O" TargetMode="External"/><Relationship Id="rId22" Type="http://schemas.openxmlformats.org/officeDocument/2006/relationships/hyperlink" Target="consultantplus://offline/ref=0A4845331B370A31A6D819C361DD29407A65F3DB3C9C22F6EE5C82DD28F2B1D544567D1A0685C4FD55510794D31BeCO" TargetMode="External"/><Relationship Id="rId23" Type="http://schemas.openxmlformats.org/officeDocument/2006/relationships/hyperlink" Target="consultantplus://offline/ref=0A4845331B370A31A6D807CE77B1754F796CABD3329920A9BA03D9807FFBBB8211197C54408CDBFC554F0495D9E10D2350F510BA4B3D401F20861B19e4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Администрация Липецкой области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Зиновьева</cp:lastModifiedBy>
  <cp:revision>3</cp:revision>
  <dcterms:created xsi:type="dcterms:W3CDTF">2022-09-13T13:39:00Z</dcterms:created>
  <dcterms:modified xsi:type="dcterms:W3CDTF">2022-09-15T08:00:04Z</dcterms:modified>
</cp:coreProperties>
</file>