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0"/>
        <w:ind w:right="-142" w:firstLine="0" w:left="0"/>
        <w:jc w:val="center"/>
        <w:rPr>
          <w:b/>
          <w:sz w:val="26"/>
        </w:rPr>
      </w:pPr>
      <w:r>
        <w:rPr>
          <w:b/>
          <w:sz w:val="26"/>
        </w:rPr>
        <w:t xml:space="preserve">ОБЪЯВЛЕНИЕ</w:t>
      </w:r>
      <w:r>
        <w:rPr>
          <w:b/>
          <w:sz w:val="26"/>
        </w:rPr>
      </w:r>
      <w:r>
        <w:rPr>
          <w:b/>
          <w:sz w:val="26"/>
        </w:rPr>
      </w:r>
    </w:p>
    <w:p>
      <w:pPr>
        <w:pBdr/>
        <w:spacing w:before="1"/>
        <w:ind w:right="-142" w:firstLine="0" w:left="0"/>
        <w:jc w:val="center"/>
        <w:rPr>
          <w:b/>
          <w:bCs/>
          <w:sz w:val="26"/>
          <w:szCs w:val="26"/>
        </w:rPr>
      </w:pPr>
      <w:r>
        <w:rPr>
          <w:b/>
          <w:sz w:val="26"/>
        </w:rPr>
        <w:t xml:space="preserve">О ПРОВЕДЕНИИ ОТБОРА ПОЛУЧАТЕЛЕЙ</w:t>
      </w:r>
      <w:r>
        <w:rPr>
          <w:b/>
          <w:bCs/>
          <w:sz w:val="26"/>
          <w:szCs w:val="26"/>
        </w:rPr>
        <w:t xml:space="preserve"> ГРАНТОВ «ЛЕГКИЙ СТАРТ» В ФОРМЕ СУБСИДИЙ СУБЪЕКТАМ МАЛОГО ПРЕДПРИНИМАТЕЛЬСТВА НА ФИНАНСОВОЕ ОБЕСПЕЧЕНИЕ ЗАТРАТ </w:t>
      </w:r>
      <w:r>
        <w:rPr>
          <w:b/>
          <w:bCs/>
          <w:sz w:val="26"/>
          <w:szCs w:val="26"/>
        </w:rPr>
        <w:t xml:space="preserve">НАЧИНАЮЩИХ СУБЪЕКТОВ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 ПО ОДНОМУ ИЗ ПРИОРИТЕТНЫХ НАПРАВЛЕНИЙ ДЕЯТЕЛЬНОСТИ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09"/>
        <w:pBdr/>
        <w:spacing w:before="11"/>
        <w:ind/>
        <w:rPr>
          <w:b/>
          <w:sz w:val="25"/>
          <w:highlight w:val="lightGray"/>
        </w:rPr>
      </w:pPr>
      <w:r>
        <w:rPr>
          <w:b/>
          <w:sz w:val="25"/>
          <w:highlight w:val="lightGray"/>
        </w:rPr>
      </w:r>
      <w:r>
        <w:rPr>
          <w:b/>
          <w:sz w:val="25"/>
          <w:highlight w:val="lightGray"/>
        </w:rPr>
      </w:r>
      <w:r>
        <w:rPr>
          <w:b/>
          <w:sz w:val="25"/>
          <w:highlight w:val="lightGray"/>
        </w:rPr>
      </w:r>
    </w:p>
    <w:tbl>
      <w:tblPr>
        <w:tblStyle w:val="908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883"/>
        <w:gridCol w:w="6734"/>
      </w:tblGrid>
      <w:tr>
        <w:trPr>
          <w:trHeight w:val="137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911"/>
              <w:pBdr/>
              <w:spacing w:line="275" w:lineRule="exact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textDirection w:val="lrTb"/>
            <w:noWrap w:val="false"/>
          </w:tcPr>
          <w:p>
            <w:pPr>
              <w:pStyle w:val="911"/>
              <w:pBdr/>
              <w:spacing/>
              <w:ind w:right="297"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Нормативный правовой акт, регулирующий проведение отбора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textDirection w:val="lrTb"/>
            <w:noWrap w:val="false"/>
          </w:tcPr>
          <w:p>
            <w:pPr>
              <w:pStyle w:val="911"/>
              <w:pBdr/>
              <w:spacing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Приказ № 111 от 10 сентября 2024 года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«Об утверждении Порядка предоставления грантов «Легкий старт» в форме субсидий субъектам малого предпринимательства на финансовое обеспечение затрат 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ачинающих субъектов малого предпринимательства (за исключением производственных кооперативов, потребительских кооперативов и крестьянских (фермерских) хозяйств), связанных с организацией собственного дела по одному из приоритетных направлений деятельности»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(далее – Порядок)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037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911"/>
              <w:pBdr/>
              <w:spacing w:line="275" w:lineRule="exact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textDirection w:val="lrTb"/>
            <w:noWrap w:val="false"/>
          </w:tcPr>
          <w:p>
            <w:pPr>
              <w:pStyle w:val="911"/>
              <w:pBdr/>
              <w:spacing/>
              <w:ind w:right="101"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Сроки проведения отбора (дата и время начала и окончания подачи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заявок)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textDirection w:val="lrTb"/>
            <w:noWrap w:val="false"/>
          </w:tcPr>
          <w:p>
            <w:pPr>
              <w:pStyle w:val="911"/>
              <w:pBdr/>
              <w:spacing w:line="275" w:lineRule="exact"/>
              <w:ind w:right="189"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начала подачи (приема) заявок на участие в отборе: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30 сентября 2024 года 8:30 по московскому времени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окончания подачи (приема) заявок на участие в</w:t>
            </w:r>
            <w:r>
              <w:rPr>
                <w:rFonts w:ascii="Times New Roman" w:hAnsi="Times New Roman" w:eastAsia="Times New Roman" w:cs="Times New Roman"/>
                <w:b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отборе: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октября 2024 года 17:30 по московскому</w:t>
            </w:r>
            <w:r>
              <w:rPr>
                <w:rFonts w:ascii="Times New Roman" w:hAnsi="Times New Roman" w:eastAsia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времени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lightGray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r>
          </w:p>
        </w:tc>
      </w:tr>
      <w:tr>
        <w:trPr>
          <w:trHeight w:val="2024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911"/>
              <w:pBdr/>
              <w:spacing w:line="276" w:lineRule="exact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textDirection w:val="lrTb"/>
            <w:noWrap w:val="false"/>
          </w:tcPr>
          <w:p>
            <w:pPr>
              <w:pStyle w:val="911"/>
              <w:pBdr/>
              <w:spacing w:before="3" w:line="276" w:lineRule="exact"/>
              <w:ind w:right="150"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Наименование, место нахождения, почтовый адрес, адрес электронной почты управления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textDirection w:val="lrTb"/>
            <w:noWrap w:val="false"/>
          </w:tcPr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Управление экономического развития Липецкой области (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далее –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Управление)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почтовый адрес: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398014, г. Липецк, пл. Ленина - Соборная,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место нахождения: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г. Липецк, ул. Кузнечная, д. 8, каб. 203.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адрес электронной почты: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ed@admlr.lipetsk.ru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график работы: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в рабочие дни с 8.30 до 17.30 часов (в пятницу с 8.30 до 16.30 часов), перерыв с 13.00 до 13.48 часов по московскому времени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819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Style w:val="911"/>
              <w:pBdr/>
              <w:spacing w:line="272" w:lineRule="exact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textDirection w:val="lrTb"/>
            <w:noWrap w:val="false"/>
          </w:tcPr>
          <w:p>
            <w:pPr>
              <w:pStyle w:val="911"/>
              <w:pBdr/>
              <w:spacing w:line="272" w:lineRule="exact"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Результат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/>
              <w:ind w:right="99"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предоставления гранта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textDirection w:val="lrTb"/>
            <w:noWrap w:val="false"/>
          </w:tcPr>
          <w:p>
            <w:pPr>
              <w:widowControl w:val="true"/>
              <w:pBdr/>
              <w:spacing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  <w:t xml:space="preserve">Результатом предоставлени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  <w:t xml:space="preserve">я гранта является создание не менее 1 нового рабочего места (на полную ставку) в рамках реализации проекта в течение 12 месяцев со дня поступления гранта на расчетный счет получателя гранта, установленный в соглашении, заключаемом в целях получения гранта.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true"/>
              <w:pBdr/>
              <w:spacing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  <w:t xml:space="preserve">Точная дата завершения и конечное значение результата предоставления гранта (конкретной количественной характеристики итогов) устанавливается в соглашении.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116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72" w:lineRule="exact"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 w:right="1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  <w:t xml:space="preserve">Доменное имя и (или) указатели страниц государственной информационной системы в сети «Интернет», на котором обеспечивается проведение конкурса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true"/>
              <w:pBdr/>
              <w:spacing/>
              <w:ind w:right="1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Bdr/>
              <w:spacing w:line="276" w:lineRule="auto"/>
              <w:ind w:right="189"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официальный сайт Управления: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Bdr/>
              <w:spacing w:line="276" w:lineRule="auto"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9" w:tooltip="https://экономика.липецкаяобласть.рф" w:history="1">
              <w:r>
                <w:rPr>
                  <w:rStyle w:val="91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https://экономика.липецкаяобласть.рф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 w:line="276" w:lineRule="auto"/>
              <w:ind w:right="189" w:left="14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доменное имя, и (или) сетевой адрес, и (или) указатель страниц сайта в информационно-телекоммуникационной сети «Интернет»: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  <w:p>
            <w:pPr>
              <w:pBdr/>
              <w:spacing w:line="276" w:lineRule="auto"/>
              <w:ind w:right="189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hyperlink r:id="rId10" w:tooltip="https://экономика.липецкаяобласть.рф/document" w:history="1">
              <w:r>
                <w:rPr>
                  <w:rStyle w:val="916"/>
                  <w:rFonts w:ascii="Times New Roman" w:hAnsi="Times New Roman" w:eastAsia="Times New Roman" w:cs="Times New Roman"/>
                  <w:sz w:val="22"/>
                  <w:szCs w:val="22"/>
                  <w:lang w:eastAsia="ru-RU"/>
                </w:rPr>
                <w:t xml:space="preserve">https://экономика.липецкаяобласть.рф/document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 w:line="276" w:lineRule="auto"/>
              <w:ind w:right="189" w:left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  <w:t xml:space="preserve">цифровая платформа МСП 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r>
          </w:p>
          <w:p>
            <w:pPr>
              <w:pBdr/>
              <w:spacing w:line="276" w:lineRule="auto"/>
              <w:ind w:right="189" w:left="142"/>
              <w:rPr>
                <w:rStyle w:val="9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916"/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https://мсп.рф</w:t>
            </w:r>
            <w:r>
              <w:rPr>
                <w:rStyle w:val="916"/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Style w:val="916"/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370"/>
        </w:trPr>
        <w:tc>
          <w:tcPr>
            <w:tcBorders/>
            <w:tcW w:w="4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textDirection w:val="lrTb"/>
            <w:noWrap w:val="false"/>
          </w:tcPr>
          <w:p>
            <w:pPr>
              <w:widowControl w:val="true"/>
              <w:pBdr/>
              <w:spacing/>
              <w:ind w:right="19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  <w:t xml:space="preserve">Требования и условия к претендентам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  <w:p>
            <w:pPr>
              <w:widowControl w:val="true"/>
              <w:pBdr/>
              <w:spacing/>
              <w:ind w:right="1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должен соответствовать следующим требованиям: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1) на дату подачи заявки: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является иностранным юридическим лицом, в том числе местом регистрации которого является государство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или территория, включенные в утвержденный Министерством финансов Российской Федерации </w:t>
            </w:r>
            <w:hyperlink r:id="rId11" w:tooltip="consultantplus://offline/ref=01DB43AF7C0C72892532F5DFF29490888E1A575DFD2119A6E9B179B3EE2DB76696F7F3C43954F41784B6F9CE1653D7C8B962B19EEE3B1524BCxEI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перечень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косвенное участие офшорных компаний в капитале публичных акционерных обществ (в том числе со статусом международно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 не находится в составляемых в рамках реализации полномочий, предусмотренных </w:t>
            </w:r>
            <w:hyperlink r:id="rId12" w:tooltip="consultantplus://offline/ref=01DB43AF7C0C72892532F5DFF29490888B1A565FF62619A6E9B179B3EE2DB76696F7F3C43954F51286B6F9CE1653D7C8B962B19EEE3B1524BCxEI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главой VII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Ус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получает средства из областного бюджета на основании иных нормативных правовых актов на цели, установленные Порядком;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является иностранным агентом в соответствии с Федеральным </w:t>
            </w:r>
            <w:hyperlink r:id="rId13" w:tooltip="consultantplus://offline/ref=01DB43AF7C0C72892532F5DFF29490888E1D5556FF2219A6E9B179B3EE2DB76684F7ABC83B5DEA1785A3AF9F50B0x5I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от 14 июля 2022 года 255 – ФЗ «О контроле за деятельностью лиц, находящихся под иностранным влиянием»;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 претендента 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находится в процессе реорганизации (за исключением реорганизации в форме присоединения к юридическому лицу, являющемуся получателе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м гранта, другого юридического лица), ликвидации, в 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Федерации, а претендент, являющийся индивидуальным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предпринимателем, не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прекратил деятельность в качестве индивидуального предпринимателя;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Start w:id="0" w:name="P92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бухгалтере (при наличии) получателя гранта,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2) на дату формирования справки, но не ранее даты подачи заявки, у претендента на едином налоговом счете отсутствует или не превышает размер, определенный </w:t>
            </w:r>
            <w:hyperlink r:id="rId14" w:tooltip="https://login.consultant.ru/link/?req=doc&amp;base=LAW&amp;n=472841&amp;date=06.06.2024&amp;dst=5769&amp;field=134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пунктом 3 статьи 47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15" w:tooltip="https://login.consultant.ru/link/?req=doc&amp;base=LAW&amp;n=472841&amp;date=06.06.2024&amp;dst=5769&amp;field=134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пунктом 3 статьи 4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8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должен соответствовать следующим условиям на дату подачи заявки: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не является или ранее не являлся получателем средств финансовой поддержки на организацию начального этапа предпринимательской деятельности;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осуществляет государственную регистрацию в качестве субъекта малого предпринимательства после прохождения конкурсного отбора;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соответствовать критериям микропредприятия, установленным Федеральным </w:t>
            </w:r>
            <w:hyperlink r:id="rId16" w:tooltip="consultantplus://offline/ref=EFDA7DF67D32324D460BEA75CF4E44B527EE66FE33F5B2D3D4CBCE38653F608E28040E9070977CBEE18942EF0BF6P8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от 24 июля 2007 года № 209-ФЗ «О развитии малого и среднего предпринимательства в Российской Федерации»;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наличие у претендента проекта (бизнес-плана) создания и развития собственного дела (далее – проекта);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наличие у претендента плана расходов гранта с указанием затрат;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оплачивать за счет собственных средств не менее 10 процентов от размера предоставленного гранта;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использовать грант в течение 12 месяцев со дня поступления гранта на его расчетный счет;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создать не менее 1 нового рабочего места (на полную ставку) в течение 12 месяцев со дня поступления гранта на его расчетный счет;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осуществлять деятельность и сохранять созданное рабочее место в течение не менее двух лет со дня поступления гранта на его расчетный счет;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должен обеспечить ведение обособленного аналитического учета операций, осуществляемых за счет гранта;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предоставлять отчетность об использовании средств гранта, достигнуть значение результата в порядке и по формам, утвержденным в соглашении о предоставлении гранта;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обеспечить ведение раздельного учета доходов и расходов средств гранта в соответствии с действующим законодательством и доступ к данной информации;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отсутствие у претендента задолженности по заработной плате;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претендент, являющийся участником специальной военной операции (далее – участник СВО), обязуется зарегистрироваться и осуществлять деятельность на территории Липецкой области по одному из приоритетных направлений деятельности в соответствии с разделами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Общероссийского </w:t>
            </w:r>
            <w:hyperlink r:id="rId17" w:tooltip="consultantplus://offline/ref=EFDA7DF67D32324D460BEA75CF4E44B527EE6EF133F9B2D3D4CBCE38653F608E28040E9070977CBEE18942EF0BF6P8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классификатора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видов экономической деятельности ОК 029-2014 (КДЕС Ред. 2), утвержденного приказом Росстандарта от 31 января 2014 года № 14-ст «О пр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2008)», за исключением </w:t>
            </w:r>
            <w:hyperlink r:id="rId18" w:tooltip="https://login.consultant.ru/link/?req=doc&amp;base=LAW&amp;n=468900&amp;dst=100133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разделов А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«Сельское, лесное хозяйство, охота, рыболовство и рыбоводство», </w:t>
            </w:r>
            <w:hyperlink r:id="rId19" w:tooltip="https://login.consultant.ru/link/?req=doc&amp;base=LAW&amp;n=468900&amp;dst=103016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G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«Торговля оптовая и розничная; ремонт автотранспортных средств и мотоциклов»;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обязуется зарегистрироваться и осуществлять деятельность на территории Липецкой области по приоритетным направлениям деятельности в соответствии с разделами Общероссийского </w:t>
            </w:r>
            <w:hyperlink r:id="rId20" w:tooltip="consultantplus://offline/ref=EFDA7DF67D32324D460BEA75CF4E44B527EE6EF133F9B2D3D4CBCE38653F608E28040E9070977CBEE18942EF0BF6P8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классификатора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видов экономической деятельности ОК 029-2014 (КДЕС Ред. 2), утвержденного приказом Росстандарта от 31 января 2014 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да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 </w:t>
            </w:r>
            <w:hyperlink r:id="rId21" w:tooltip="consultantplus://offline/ref=EFDA7DF67D32324D460BEA75CF4E44B527EE6EF133F9B2D3D4CBCE38653F608E3A04569C729065BFE2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раздел С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«Обрабатывающие производства» - за исключением производства подакцизных товаров;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 раздел Е «Водоснабжение; водоотведение, организация сбора и утилизации отходов, деятельность по ликвидации загрязнений» - за исключением кодов </w:t>
            </w:r>
            <w:hyperlink r:id="rId22" w:tooltip="consultantplus://offline/ref=EFDA7DF67D32324D460BEA75CF4E44B527EE6EF133F9B2D3D4CBCE38653F608E3A04569C72926ABBE0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38.32.11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23" w:tooltip="consultantplus://offline/ref=EFDA7DF67D32324D460BEA75CF4E44B527EE6EF133F9B2D3D4CBCE38653F608E3A04569C72926ABBE4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38.32.2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- </w:t>
            </w:r>
            <w:hyperlink r:id="rId24" w:tooltip="consultantplus://offline/ref=EFDA7DF67D32324D460BEA75CF4E44B527EE6EF133F9B2D3D4CBCE38653F608E3A04569C72926AB8E2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38.32.4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 раздел G «Торговля оптовая и розничная; ремонт автотранспортных средств и мотоциклов» - код </w:t>
            </w:r>
            <w:hyperlink r:id="rId25" w:tooltip="consultantplus://offline/ref=EFDA7DF67D32324D460BEA75CF4E44B527EE6EF133F9B2D3D4CBCE38653F608E3A04569C729367B8E6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47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- в части деятельности, осуществляемой в населенных пунктах с численностью населения менее 200 человек;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 раздел I «Деятельность гостиниц и предприятий общественного питания» - коды </w:t>
            </w:r>
            <w:hyperlink r:id="rId26" w:tooltip="consultantplus://offline/ref=EFDA7DF67D32324D460BEA75CF4E44B527EE6EF133F9B2D3D4CBCE38653F608E3A04569C729461BFE1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55.10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27" w:tooltip="consultantplus://offline/ref=EFDA7DF67D32324D460BEA75CF4E44B527EE6EF133F9B2D3D4CBCE38653F608E3A04569C729461BFEB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55.3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28" w:tooltip="consultantplus://offline/ref=EFDA7DF67D32324D460BEA75CF4E44B527EE6EF133F9B2D3D4CBCE38653F608E3A04569C729461BDE0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56.10.1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29" w:tooltip="consultantplus://offline/ref=EFDA7DF67D32324D460BEA75CF4E44B527EE6EF133F9B2D3D4CBCE38653F608E3A04569C729461BDE4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56.10.21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- </w:t>
            </w:r>
            <w:hyperlink r:id="rId30" w:tooltip="consultantplus://offline/ref=EFDA7DF67D32324D460BEA75CF4E44B527EE6EF133F9B2D3D4CBCE38653F608E3A04569C729461BAE0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56.10.24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 раздел J «Деятельность в области информации и связи» - коды </w:t>
            </w:r>
            <w:hyperlink r:id="rId31" w:tooltip="consultantplus://offline/ref=EFDA7DF67D32324D460BEA75CF4E44B527EE6EF133F9B2D3D4CBCE38653F608E3A04569C729466BCE3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59.14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32" w:tooltip="consultantplus://offline/ref=EFDA7DF67D32324D460BEA75CF4E44B527EE6EF133F9B2D3D4CBCE38653F608E3A04569C729466B7EB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62.01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33" w:tooltip="consultantplus://offline/ref=EFDA7DF67D32324D460BEA75CF4E44B527EE6EF133F9B2D3D4CBCE38653F608E3A04569C729467BCEA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63.1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 раздел Р «Образование» - коды </w:t>
            </w:r>
            <w:hyperlink r:id="rId34" w:tooltip="consultantplus://offline/ref=EFDA7DF67D32324D460BEA75CF4E44B527EE6EF133F9B2D3D4CBCE38653F608E3A04569C729561BDE0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85.11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35" w:tooltip="consultantplus://offline/ref=EFDA7DF67D32324D460BEA75CF4E44B527EE6EF133F9B2D3D4CBCE38653F608E3A04569C729561B8E6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85.41.2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36" w:tooltip="consultantplus://offline/ref=EFDA7DF67D32324D460BEA75CF4E44B527EE6EF133F9B2D3D4CBCE38653F608E3A04569C729564BDEA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85.41.9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 раздел Q «Деятельность в области здравоохранения и социальных услуг» - за исключением кода </w:t>
            </w:r>
            <w:hyperlink r:id="rId37" w:tooltip="consultantplus://offline/ref=EFDA7DF67D32324D460BEA75CF4E44B527EE6EF133F9B2D3D4CBCE38653F608E3A04569C729561B7E0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86.23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; </w:t>
            </w:r>
            <w:hyperlink r:id="rId38" w:tooltip="consultantplus://offline/ref=EFDA7DF67D32324D460BEA75CF4E44B527EE6EF133F9B2D3D4CBCE38653F608E3A04569C729561B7E6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86.9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 раздел R «Деятельность в области культуры, спорта, организации досуга и развлечений» - коды </w:t>
            </w:r>
            <w:hyperlink r:id="rId39" w:tooltip="consultantplus://offline/ref=EFDA7DF67D32324D460BEA75CF4E44B527EE6EF133F9B2D3D4CBCE38653F608E3A04569C729566B8E2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90.04.3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40" w:tooltip="consultantplus://offline/ref=EFDA7DF67D32324D460BEA75CF4E44B527EE6EF133F9B2D3D4CBCE38653F608E3A04569C729567BFE1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93.11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за исключением деятельности псарен, </w:t>
            </w:r>
            <w:hyperlink r:id="rId41" w:tooltip="consultantplus://offline/ref=EFDA7DF67D32324D460BEA75CF4E44B527EE6EF133F9B2D3D4CBCE38653F608E3A04569C729567BFE7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93.12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42" w:tooltip="consultantplus://offline/ref=EFDA7DF67D32324D460BEA75CF4E44B527EE6EF133F9B2D3D4CBCE38653F608E3A04569C729567BFE5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93.13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43" w:tooltip="consultantplus://offline/ref=EFDA7DF67D32324D460BEA75CF4E44B527EE6EF133F9B2D3D4CBCE38653F608E3A04569C729567BCE7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93.29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(в части мероприятий событийного туризма, деятельности по прокату оборудования для досуга и отдыха как неотъемлемой части развлекательного сооружения, деятельности зрелищно-развлекательной прочей);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 раздел S «Предоставление прочих видов услуг» - коды </w:t>
            </w:r>
            <w:hyperlink r:id="rId44" w:tooltip="consultantplus://offline/ref=EFDA7DF67D32324D460BEA75CF4E44B527EE6EF133F9B2D3D4CBCE38653F608E3A04569C729567BBE6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95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45" w:tooltip="consultantplus://offline/ref=EFDA7DF67D32324D460BEA75CF4E44B527EE6EF133F9B2D3D4CBCE38653F608E3A04569C72956AB8E0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96.01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9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- раздел N «Деятельность административная и сопутствующие дополнительные услуги» - код </w:t>
            </w:r>
            <w:hyperlink r:id="rId46" w:tooltip="consultantplus://offline/ref=EFDA7DF67D32324D460BEA75CF4E44B527EE6EF133F9B2D3D4CBCE38653F608E3A04569C729563B8E4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81.2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, </w:t>
            </w:r>
            <w:hyperlink r:id="rId47" w:tooltip="consultantplus://offline/ref=EFDA7DF67D32324D460BEA75CF4E44B527EE6EF133F9B2D3D4CBCE38653F608E3A04569C729562BAE29C14BE4D3E7FAC417424425093E39AF8P4J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77.21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атегории и критерии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оценки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spacing w:line="265" w:lineRule="exact"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Гранты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предоставляются субъектам малого предпринимательства, не осуществлявшим предпринимательскую деятельность в качестве индивидуальных предпринимателей или юридических лиц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течение последних 3 лет, отвечающим условиям и требованиям установленным порядком и прошедшим отбор.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Отбор осуществляется управлением путем проведения конкурса на основании заявок, направленных претендентами для участия в конкурсе получателей грантов, исходя из наилучших условий достижения результатов, в целях достижения которых предоставляются гранты.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Оценка проектов, представленных в составе заявок претендентов, осуществляется по балльной системе.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9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Оценка проекта участника конкурса по критериям оценки осуществляется конкурсной комиссией на основании презентации проекта участником конкурса или представителем участника конкурса в форме очного собеседования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или видео-конференц-связи, которое включает рассмотрение информации по проекту, ответы на вопросы членов конкурсной комиссии в части обоснования расходования гранта, планируемых приобретений и планируемых производственно-экономических показателей проекта.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орядок подачи заявок и требований, предъявляемых к форме и содержанию заявок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Претендент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в сроки, указанные в объявлении о проведении конкурса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(п.2)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, размещенном на едином портале и на сайте управления в соответствии с Порядком, представляет в управление </w:t>
            </w:r>
            <w:hyperlink w:tooltip="#P265" w:anchor="P265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заявку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по форме согласно приложению 1 к Порядку с приложением следующих документов: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копии документа, удостоверяющего личность гражданина Российской Федерации;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копии трудовой книжки и/или сведений о трудовой деятельности (при наличии);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копии документа о профильном образовании (при наличии);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копии документа, подтверждающего прохождение обучения основам</w:t>
            </w:r>
            <w:r>
              <w:rPr>
                <w:rFonts w:ascii="Times New Roman" w:hAnsi="Times New Roman" w:eastAsia="Times New Roman" w:cs="Times New Roman"/>
                <w:strike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предпринимательской деятельности (при наличии);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проекта (бизнес-плана) создания и развития собственного дела;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справки об отсутствии задолженности по заработной плате перед работниками на дату подачи документов;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согласия претендента на публикацию (размещение) на едином портале и на сайте управления информации о претенденте, 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подаваемой им заявке и иной информации о претенденте.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вправе представить оригиналы указанных  документов по собственной инициативе.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Один претендент может подать только одну заявку.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Заявка и прилагаемые к ней документы (копии документов) должны быть прошиты, пронумерованы, скреплены подписью претендента и предоставлены в соответствии с описью документов, составленной в 2 экземплярах.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При представлении документов претендентом предъявляется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документ, удостоверяющий его личность. При представлении документов представителем претендента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Заявки и прилагаемые к ним документы, представленные позже срока, указанного в объявлении о проведении конкурса, к рассмотрению не принимаются.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Регистрация представленных заявок и прилагаемых к ним документов осуществляется в день их поступления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должностным лицом, уполномоченным приказом управления на прием документов, в порядке, утвержденном приказом управления.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подачи заявки и пакета документов через Цифровую платформу МСП (</w:t>
            </w:r>
            <w:hyperlink r:id="rId48" w:tooltip="&lt;div class=&quot;doc www&quot;&gt;&lt;span class=&quot;aligner&quot;&gt;&lt;div class=&quot;icon listDocWWW-16&quot;&gt;&lt;/div&gt;&lt;/span&gt;https://мсп.рф&lt;/div&gt;" w:history="1">
              <w:r>
                <w:rPr>
                  <w:rStyle w:val="916"/>
                  <w:rFonts w:ascii="Times New Roman" w:hAnsi="Times New Roman" w:eastAsia="Times New Roman" w:cs="Times New Roman"/>
                  <w:sz w:val="22"/>
                  <w:szCs w:val="22"/>
                  <w:highlight w:val="white"/>
                  <w:u w:val="none"/>
                </w:rPr>
                <w:t xml:space="preserve">https://мсп.рф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) (далее - ЦП МСП):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Претендент, представляет заявку и перечень документов, в электронной форме посредством ЦП МСП.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Для предста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вления заявки претендент авторизуется на ЦП МСП, затем заполняет заявление с использованием специальной интерактивной формы в электронном виде и подписывает электронной подписью (далее - ЭП). Электронные образы документов согласно Порядку подписываются ЭП.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орядок отзыва заявок, порядок возврата заявок, определяющего, в том числе, основания для их возврата, порядок внесения изменений в заявки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1"/>
              <w:pBdr/>
              <w:spacing w:line="265" w:lineRule="exact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Претендент имеет право отозвать свою заявку до установленного срока окончания приема заявок и документов, указанного в объявлении о проведении конкурса, уведомив об этом письменно Управление.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pBdr/>
              <w:spacing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Соответствующее уведомление должно быть подписано руководителем претендента и заверено печатью претендента (при наличии).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pBdr/>
              <w:spacing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lang w:eastAsia="en-US"/>
              </w:rPr>
              <w:t xml:space="preserve">При представлении уведомления руководителем претендента предъявляется д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lang w:eastAsia="en-US"/>
              </w:rPr>
              <w:t xml:space="preserve">окумент, удостоверяющий его личность. При представлении уведомления представителем претендента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pBdr/>
              <w:spacing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lang w:eastAsia="en-US"/>
              </w:rPr>
              <w:t xml:space="preserve">Регистрация уведомлений и прилагаемых к ним документов осуществляется в день их поступления должностным лицом, уполномоченным приказом Управления на прием документов.</w:t>
            </w:r>
            <w:r>
              <w:rPr>
                <w:rFonts w:ascii="Times New Roman" w:hAnsi="Times New Roman" w:eastAsia="Times New Roman" w:cs="Times New Roman" w:eastAsiaTheme="minorHAnsi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2"/>
              <w:pBdr/>
              <w:spacing/>
              <w:ind w:right="186" w:left="142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Уведомления, представленные позже срока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окончания приема заявок и документов, указанного в объявлении о проведении конкурса, к рассмотрению не принимаются.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10"/>
              <w:pBdr/>
              <w:shd w:val="clear" w:color="auto" w:fill="ffffff"/>
              <w:spacing/>
              <w:ind w:right="186" w:left="142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Документы, представленные на конкурс, возврату не подлежат.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10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равила рассмотрения и оценки заявок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Уполномоченное лицо в течение 5 рабочих дней со дня, следующего за днем окончания срока подачи заявок, указанного в объявлении о проведении конкурса, в рамках межведомственного взаимодействия запрашивает следующие документы: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информацию налогового органа об отсутствии у претендента на едином налоговом счете или о не превышающим размере, определенном </w:t>
            </w:r>
            <w:hyperlink r:id="rId49" w:tooltip="https://login.consultant.ru/link/?req=doc&amp;base=LAW&amp;n=472841&amp;date=06.06.2024&amp;dst=5769&amp;field=134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пунктом 3 статьи 47, пунктом 3 статьи 48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на дату формирования справки, но не ранее даты подачи заявки;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информацию управления финансов Липецкой области об отсутствии просроченной задолженности по возврату в областной бюджет иных субсидий, бюджетных инвестиций на дату подачи заявки;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информацию управления имущественных и земельных отношений Липецкой области об отсутствии просроченной (неурегулированной) задолженности в областной бюджет по арендной плате на дату подачи заявки.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Претендент вправе представить оригиналы указанных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документов по собственной инициативе.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В течение 15 рабочих дней со дня, следующего за днем окончания срока подачи заявок, указанного в объявлении о проведении конкурса: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1) уполномоченное лицо: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рассматривает документы, проводит проверку на соответствие предъявляемым Порядком требованиям;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принимает решение о допуске (об отказе в допуске) претендентов к участию в конкурсе;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оформляет принятое решение актом;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подготавливает проект приказа управления с отражением в нем следующей информации: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перечня претендентов, заявки которых были рассмотрены;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перечня претендентов, заявки которых допущены к участию в конкурсе;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перечень претендентов, заявки которых были отклонены, с указанием причин их отклонения, в том числе положений  Порядка, которым не соответствуют такие заявки;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2) начальник управления подписывает приказ;</w:t>
            </w: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3) уполномоченное лицо: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размещает приказ об утверждении перечня претендентов, заявки которых допущены (отклонены) к участию в конкурсе на сайте управления и на едином портале;</w:t>
            </w: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направляет претендентам, допущенным к участию в конкурса, уведомления с указанием места, даты и времени проведения конкурса;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направляет претендентам, не допущенным к участию в конкурсе, уведомления с указанием причин отказа в допуске к участию в конкурсе.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contextualSpacing w:val="true"/>
              <w:jc w:val="both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Уведомление направляется способом, указанным претендентом в заявке, позволяющим достоверно установить факт и дату направления уведомления.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орядок возврата заявок на доработку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отклонения заявок, а также информацию об основаниях их отклонения;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1"/>
              <w:pBdr/>
              <w:spacing w:line="265" w:lineRule="exact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Основания для отклонения заявок: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несоответствие претендента условиям и требованиям, установленным Порядком;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непредставление (представление не в полном объеме) документов, указанных в объявлении о проведении конкурса, предусмотренных Порядком;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несоответствие представленных претендентом заявок и (или) документов требованиям, установленным в объявлении о проведении конкурса, предусмотренных Порядком;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недостоверность информации, содержащейся в документах, представленных претендентом в целях подтверждения соответствия установленным Порядком требованиям;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несоответствие претендента категории, установленной Порядком;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подача претендентом заявки после даты и (или) времени, определенных для подачи заявок в объявлении о проведении конкурса;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наличие принятой и зарегистрированной заявки претендента, которая не была им отозвана, в случае подачи заявки лично на бумажном носителе и через ЦП МСП;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неустранение оснований для приостановления приема и регистрации заявки при представлении документов и (или) пояснений в случае подачи заявки через ЦП МСП.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Основаниями для приостановления приема и регистрации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заявки на ЦП МСП являются: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1) непредставление (представление не в полном объеме) документов, установленных в Порядке;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2) некорректное заполнение обязательных полей заявления на ЦП МСП (отсутствие заполнения, недостоверное, неполное или неправильное, не соответствующее требованиям, установленным Порядком);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3) представление электронных образов документов посредством ЦП МСП не позволяет в полном объеме прочитать текст документа и (или) распознать обязательные реквизиты документов;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4) наличие нечитаемых исправлений в представленных документах.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Отказ в приеме 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регистрации заявки или возврат заявки без рассмотрения (далее - аннулирование заявки) через ЦП МСП не препятствует повторному обращению претендента за предоставлением гранта до даты окончания приема заявок, установленной объявлением о проведении конкурса.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Претендент представляет документы и (или) пояснения, касающиеся сведений и данных, указанных в заявке, в срок не более 4 рабочих дней со дня направления. Уведомления о представлении документов в личный кабинет претендента ЦП МСП.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устранения претендентом оснований для приостановления прие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ма и регистрации заявки, установленных Порядком, Управление регистрирует заявку в журнале регистрации не позднее 1 рабочего дня со дня представления претендентом дополнительных документов и (или) пояснений, касающихся сведений и данных, указанных в заявке.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неустранения претендентом оснований для приостановления приема и реги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страции заявки, установленных Порядком, Управление отказывает в приеме и регистрации заявки на ЦП МСП не позднее 1 рабочего дня со дня представления претендентом дополнительных документов и (или) пояснений, касающихся сведений и данных, указанных в заявке.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непредставления претендентом документов и (или) пояснений, касающихся сведений и данных, указанных в заявке, в срок, установленный в Порядке, заявка аннулируется.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675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ъем распределяемых грантов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в рамках конкурса, порядок расчета размера грантов, правила распределения грантов по результатам конкурса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1"/>
              <w:pBdr/>
              <w:spacing w:line="265" w:lineRule="exact"/>
              <w:ind w:right="190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Гранты предоставляются в размере не более 500 тыс. руб. на одного получателя гранта.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Грант перечисляется получателю гранта единовременно в полном объеме средств, предусмотренных соглашением.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 случае уменьшения управлению ранее доведенных лимитов б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юджетных обязательств, приводящего к невозможности предоставления гранта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 включаются в соглашение.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Внесение изменений в соглашение (расторжение соглашения) осуществляется на основании дополнительного соглашения в соответствии с типовой формой, установленной управлением финансов Липецкой области.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2При увеличении объема средств, предусмотренных Законом об областном бюджете на указанные в настоящем Порядке цели, при наличии нераспределенных грантов, Управление проводит новый конкурс в соответствии с настоящим Порядком.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Управление размещает объявление о про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ведении нового конкурса на едином портале и сайте Управления с указанием даты начала подачи или окончания приема заявок претендентов, которая не может быть ранее 30-го календарного дня, следующего за днем размещения объявления о проведении нового конкурса.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течение 5 рабочих дней со дня, следующего за днем получения протокола, указанного в Порядке: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1) уполномоченное лицо: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а) осуществляет распределение грантов между претендентами на получение гранта в размере, указанном в Порядке, в следующем порядке: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если со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вокупный объем запрашиваемых претендентами на получение гранта согласно поданным на конкурс заявкам не превышает объема лимитов бюджетных обязательств, доведенных до управления, размер предоставляемого гранта устанавливается в объемах, указанных в заявках;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если совокупный объем запрашиваемых претендентами на получение гранта согласно поданным на конкурс заявкам превышает объем лимитов бюджетных обязательств, доведенных до управления, размер предоставляемого гран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та устанавливается исходя из сформированного рейтинга заявок в объемах, указанных в заявках. При недостаточности лимитов бюджетных обязательств, доведенных до управления, для обеспечения затрат, указанных в заявке в полном объеме, грант не предоставляется;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б) подготавливает проект приказа о предоставлении грантов из областного бюджета претендентами на получение гранта, который включает следующие сведения: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дата, время и место оценки конкурсной комиссией;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информацию об участниках конкурса, документы которых были оценены конкурсной комиссией;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информацию об участниках конкурса, заявки которых были отклонены конкурсной комиссией;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последовательность оц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енки документов участников конкурса, присвоенные документам участников конкурса значения по каждому из предусмотренных критериев оценки, принятое на основании результатов оценки указанных документов решение о присвоении таким документам порядковых номеров;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наименование претендентов на получение  гранта, с которым заключается соглашение, и размер предоставляемого им гранта.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2) начальник управления рассматривает и подписывает приказ о предоставлении грантов либо возвращает проект приказа для доработки;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3) уполномоченное лицо: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размещает приказ о предоставлении грантов на сайте управления и на едином портале;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направляет получателю гранта уведомление о необходимости: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осуществления государственную регистрацию в качестве субъекта малого предпринимательства и представить управлению </w:t>
            </w:r>
            <w:hyperlink w:tooltip="#P441" w:anchor="P44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сведения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о регистрации в качестве субъекта малого предпринимательства в течение 15 рабочих дней со дня, следующего за днем направления уведомления о государственной регистрации;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заключения соглашения о предоставлении гранта в течение 20 рабочих дней со дня, следующего за днем направления уведомления о заключении соглашения;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направляет претенденту на получение гранта, с которым не заключается соглашение, уведомление о незаключении с ним соглашения с указанием основания отказа.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Уведомление направляется способом, указанным в заявке, позволяющим установить факт и дату направления уведомления получателям гранта (или участникам конкурса), а в случае подачи заявки через ЦП МСП - в личный кабинет ЦП МСП.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подачи заявки через ЦП МСП соглашение заключается в электронной форме на ЦП МСП в срок, не превышающий 4 рабочих дней со дня утверждения приказа об утверждении перечня получателей гранта: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течение 2 рабочих дней со дня ут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верждения приказа об утверждении перечня получателей гранта управление направляет получателю гранта уведомление о предоставлении гранта и соглашение, подписанное ЭП уполномоченного должностного лица управления, в личный кабинет получателя гранта на ЦП МСП;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течение 2 рабочих дней со дня отправления соглашения получатель гранта направляет в адрес управления соглашение, подписанное ЭП со своей стороны.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Дополнительные соглашения к соглашению заключаются в бумажном виде либо на ЦП МСП (при наличии технической возможности).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Управление заключает с получателем гранта соглашение в день его обращения в соответствии с типовой формой, установленной управлением финансов Липецкой области.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/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незаключения соглашения грант не перечисляется.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Bdr/>
              <w:spacing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Порядок предоставления претендентам разъяснений положений объявления о проведении конкурса, даты начала и окончания срока такого предоставления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Bdr/>
              <w:spacing/>
              <w:ind w:right="186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Специалисты управления в течение срока приема заявок и документов предоставляют разъяснения положений настоящего объявления о конкурсном отборе по указанным в настоящем объявлении телефонам, электронной почте, адресу.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spacing/>
              <w:ind w:right="186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265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Bdr/>
              <w:spacing/>
              <w:ind w:right="190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Порядок оценки заявок, включающего критерии оце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нки, показатели критериев оценки, и их весовое значение в общей оценке, необходимую для представления претендентом информацию по каждому критерию оценки, показателю критерия оценки, сведения, документы и материалы, подтверждающие такую информацию, минимал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ьный проходной балл, который необходимо набрать по результатам оценки заявок претендентом для признания их победителями конкурса, сроки оценки заявок, а также информацию об участии или неучастии комиссии и экспертов (экспертных организаций) в оценке заявок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течение 15 рабочих дней со дня, следующего за днем окончания срока подачи заявок, указанного в объявлении о проведении конкурса: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1) уполномоченное лицо: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рассматривает документы, проводит их проверку на соответствие предъявляемым Порядком требованиям;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принимает решение о допуске (об отказе в допуске) претендентов к участию в конкурсе;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оформляет принятое решение актом;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подготавливает проект приказа управления с отражением в нем следующей информации: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перечня претендентов, заявки которых были рассмотрены;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перечня претендентов, заявки которых допущены к участию в конкурсе;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перечень претендентов, заявки которых были отклонены, с указанием причин их отклонения, в том числе положений Порядка, которым не соответствуют такие заявки;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2) начальник управления подписывает приказ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3) уполномоченное лицо: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размещает приказ об утверждении перечня претендентов, заявки которых допущены (отклонены) к участию в конкурсе на сайте управления и на едином портале;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направляет претендентам, допущенным к участию в конкурс, уведомления с указанием места, даты и времени проведения конкурса;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направляет претендентам, не допущенным к участию в конкурсе, уведомления с указанием причин отказа в допуске к участию в конкурсе.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2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Уведомление направляется способом, указанным претендентом в заявке, позволяющим достоверно установить факт и дату направления уведомления.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2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Уполномоченное лицо в течение 5 рабочих дн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ей со дня, следующего за днем размещения на едином портале и сайте управления приказа об утверждении перечня претендентов, заявки которых допущены (отклонены) к участию в конкурсе, передает документы участников конкурса на рассмотрение конкурсной комиссии.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Положение о конкурсной комиссии и ее составе утверждаются приказом управления.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состав конкурсной комиссии входят лица, замещающие должности государственной гражданской службы в управлении, представит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ели отраслевых органов исполнительной власти Липецкой области, региональной инфраструктуры поддержки малого и среднего предпринимательства Липецкой области, ассоциаций, союзов и иных объединений предпринимателей, действующих на территории Липецкой области.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Количественный состав конкурсной комиссии должен составлять не менее девяти человек.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Конкурсная комиссия в течение 10 рабочих дней со дня, следующего за дне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 получения документов, проводит оценку представленных документов и проектов исходя из наилучших условий достижения результатов предоставления гранта для обеспечения реализации проекта в порядке, установленном Порядком, и оформляет свое решение протоколом.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Оценка проектов, представленных в составе заявок претендентов, осуществляется по балльной системе.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Каждый член конкурсной комиссии, принимающий участие в ее заседании, в оценочном листе выставляет проекту, представленному в составе заявки претендента, соответствующий балл по каждому критерию оценки в соответствии с </w:t>
            </w:r>
            <w:hyperlink w:tooltip="#P125" w:anchor="P125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таблицей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настоящего пункта.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Оценка проекта участника конкурса по критериям оценки, указанным в </w:t>
            </w:r>
            <w:hyperlink w:tooltip="#P177" w:anchor="P177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строке 6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таблицы настоящего пункта, осуществляется конкурсной комиссией на основании презентации проекта участником конкурса или представителем участника конкурса в форме очного собеседования или видео-конференц-связи (да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лее - презентация проекта), которое включает рассмотрение информации по проекту, ответы на вопросы членов конкурсной комиссии в части обоснования расходования гранта, планируемых приобретений и планируемых производственно-экономических показателей проекта.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Уч</w:t>
            </w:r>
            <w:bookmarkStart w:id="1" w:name="пункт22размергранта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Start w:id="2" w:name="Пункт18оценка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End w:id="1"/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bookmarkEnd w:id="2"/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астником конкурса и/или его представителем предъявляется документ, удостоверяющий его личность, а представителем также документ, подтверждающий его полномочия, оформленный в соответствии с действующим законодательством.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Критерии оценки проектов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Таблица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tbl>
            <w:tblPr>
              <w:tblW w:w="0" w:type="auto"/>
              <w:tblInd w:w="18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4172"/>
              <w:gridCol w:w="926"/>
              <w:gridCol w:w="912"/>
            </w:tblGrid>
            <w:tr>
              <w:trPr/>
              <w:tc>
                <w:tcPr>
                  <w:tcBorders/>
                  <w:tcW w:w="624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№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п/п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Наименование критерия оценки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Макскол-во баллов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firstLine="0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Весовое значение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>
                <w:trHeight w:val="797"/>
              </w:trPr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Направления деятельности начинающего субъекта малого предпринимательства (в соответствии с проектом)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0,05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обрабатывающее производство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3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деятельность в области информации и связи, деятельность в области здравоохранения и социальных услуг, образование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>
                <w:trHeight w:val="68"/>
              </w:trPr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иные направления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2.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Наличие у участника конкурса опыта работы в сфере планируемого к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реализации вида деятельности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0,05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имеет трудовой стаж не менее трех лет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имеет трудовой стаж менее трех лет, не имеет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3.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Наличие у участника конкурса 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профильного образования в сфере планируемого к реализации вида деятельности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0,05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имеет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не имеет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4.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Прохождение обучения основам предпринимательской деятельности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0,1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обучение пройдено в текущем и (или) прошлом годах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обучение пройдено более двух лет назад, не имеет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5.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Планируется создание новых рабочих мест в период реализации проекта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0,2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свыше 3 рабочих мест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2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менее 3 рабочих мест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6.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Оценка эффективности представленного проекта (оценивается по итогам презентации проекта) &lt;*&gt;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restart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0,55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один голос члена комиссии «за»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4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  <w:tr>
              <w:trPr/>
              <w:tc>
                <w:tcPr>
                  <w:tcBorders/>
                  <w:tcW w:w="624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  <w:tc>
                <w:tcPr>
                  <w:tcBorders/>
                  <w:tcW w:w="4172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один голос члена комиссии «против»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26" w:type="dxa"/>
                  <w:textDirection w:val="lrTb"/>
                  <w:noWrap w:val="false"/>
                </w:tcPr>
                <w:p>
                  <w:pPr>
                    <w:pStyle w:val="912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 w:line="283" w:lineRule="atLeast"/>
                    <w:ind w:right="186" w:left="142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  <w:t xml:space="preserve">1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white"/>
                    </w:rPr>
                  </w:r>
                </w:p>
              </w:tc>
              <w:tc>
                <w:tcPr>
                  <w:tcBorders/>
                  <w:tcW w:w="912" w:type="dxa"/>
                  <w:vMerge w:val="continue"/>
                  <w:textDirection w:val="lrTb"/>
                  <w:noWrap w:val="false"/>
                </w:tcPr>
                <w:p>
                  <w:pPr>
                    <w:pBdr/>
                    <w:spacing w:line="0" w:lineRule="atLeast"/>
                    <w:ind/>
                    <w:contextualSpacing w:val="tru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</w:r>
                </w:p>
              </w:tc>
            </w:tr>
          </w:tbl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&lt;*&gt; В случае неявки участника конкурса на презентацию проекта соответствующему критерию оценки присваивается минимальное значение балла.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Количество баллов, присваиваемых каждому критерию оценки, определяется как среднее арифметическое оценок (в баллах) всех членов конкурсной комиссии, округленное до двух знаков после запятой, умноженное на весовое значение данного критерия оценки.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Итоговая оценка проекта, представленного в составе заявки, определяется как сумма полученных баллов по каждому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критерию оценки.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Участники конкурса, итоговые оценки проектов, представленных в составе заявок, которых составили 1,73 балла и более, признаются претендентами на получение гранта.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 основании итоговой оценки проекта, представленного в составе заявки, конкурсной комиссией присваивается каждой заявке порядковый номер (в порядке уменьшения суммы набранных при оценке баллов).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Если две или более заявок набрали при проведении оценки проектов одинаковую сумму баллов, меньший порядковый номер присваивается заявке, имеющей наибольшее количество планируемых к созданию новых рабочих мест.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Срок, в течение которого победители конкурса должен подписать соглашение о представлении гранта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существить государственную регистрацию в качестве субъекта малого предпринимательства и представить управлению </w:t>
            </w:r>
            <w:hyperlink w:tooltip="#P441" w:anchor="P441" w:history="1">
              <w:r>
                <w:rPr>
                  <w:rFonts w:ascii="Times New Roman" w:hAnsi="Times New Roman" w:eastAsia="Times New Roman" w:cs="Times New Roman"/>
                  <w:color w:val="000000"/>
                  <w:sz w:val="22"/>
                  <w:szCs w:val="22"/>
                  <w:highlight w:val="white"/>
                </w:rPr>
                <w:t xml:space="preserve">сведения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о регистрации в качестве субъекта малого предпринимательства по форме согласно приложению 2 к Порядку в течение 15 рабочих дней со дня, следующего за днем направления уведомления о государственной регистрации;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аключить соглашение о предоставлении гранта в течение 20 рабочих дней со дня, следующего за днем направления уведомления о заключении соглашения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подачи заявки через ЦП МСП соглашение заключается в электронной форме на ЦП МСП в срок, не превышающий 4 рабочих дней со дня утверждения приказа об утверждении перечня получателей гранта.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Дополнительные соглашения к соглашению заключаются в бумажном виде либо на ЦП МСП (при наличии технической возможности).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Управление заключает с получателем гранта соглашение в день его обращения в соответствии с типовой формой, установленной управлением финансов Липецкой области.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Условия признания победителей конкурса уклонившимся от заключения соглашения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86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случае незаключения соглашения грант не перечисляется.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right="190"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роки размещения протокола подведения итогов конкурса/документа об итогах проведения конкурса на едином портале, а также на сайте управления, которые не могут быть позднее 14-го календарного дня, следующего за днем определения победителя конкурса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1134"/>
              </w:tabs>
              <w:spacing/>
              <w:ind w:right="186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Уполномоченное лицо в течение 5 рабочих дней со дня, следующего за днем получения протокола конкурсной комиссии, размещает приказ о предоставлении грантов на сайте Управления и на едином портале.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1"/>
              <w:pBdr/>
              <w:tabs>
                <w:tab w:val="left" w:leader="none" w:pos="823"/>
              </w:tabs>
              <w:spacing/>
              <w:ind w:right="186" w:lef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1103"/>
        </w:trPr>
        <w:tc>
          <w:tcPr>
            <w:tcBorders/>
            <w:tcW w:w="476" w:type="dxa"/>
            <w:vMerge w:val="restart"/>
            <w:textDirection w:val="lrTb"/>
            <w:noWrap w:val="false"/>
          </w:tcPr>
          <w:p>
            <w:pPr>
              <w:pStyle w:val="911"/>
              <w:pBdr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/>
            <w:tcW w:w="2883" w:type="dxa"/>
            <w:vMerge w:val="restart"/>
            <w:textDirection w:val="lrTb"/>
            <w:noWrap w:val="false"/>
          </w:tcPr>
          <w:p>
            <w:pPr>
              <w:pStyle w:val="912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83" w:lineRule="atLeast"/>
              <w:ind w:left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Приложение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/>
            <w:tcW w:w="6734" w:type="dxa"/>
            <w:vMerge w:val="restart"/>
            <w:textDirection w:val="lrTb"/>
            <w:noWrap w:val="false"/>
          </w:tcPr>
          <w:p>
            <w:pPr>
              <w:pStyle w:val="910"/>
              <w:numPr>
                <w:ilvl w:val="0"/>
                <w:numId w:val="18"/>
              </w:numPr>
              <w:pBdr/>
              <w:tabs>
                <w:tab w:val="left" w:leader="none" w:pos="425"/>
              </w:tabs>
              <w:spacing/>
              <w:ind w:right="186" w:firstLine="0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форма заявки претендента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10"/>
              <w:numPr>
                <w:ilvl w:val="0"/>
                <w:numId w:val="18"/>
              </w:numPr>
              <w:pBdr/>
              <w:tabs>
                <w:tab w:val="left" w:leader="none" w:pos="425"/>
              </w:tabs>
              <w:spacing/>
              <w:ind w:right="186" w:firstLine="0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форма сведений о регистрации в качестве субъекта предпринимательства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Bdr/>
              <w:tabs>
                <w:tab w:val="left" w:leader="none" w:pos="1134"/>
              </w:tabs>
              <w:spacing/>
              <w:ind w:right="186" w:left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912"/>
        <w:pBdr/>
        <w:spacing/>
        <w:ind/>
        <w:jc w:val="right"/>
        <w:outlineLvl w:val="1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Приложение 1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к Порядку предоставления гранта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«Легкий старт» в форме субсидий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на финансовое обеспечение затрат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начинающих субъектов малого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предпринимательства (за исключением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производственных кооперативов,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потребительских кооперативов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и крестьянских (фермерских)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хозяйств), связанных с организацией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собственного дела по одному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из приоритетных направлений деятельности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Bdr/>
        <w:spacing/>
        <w:ind/>
        <w:jc w:val="right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Форма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Начальнику управления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экономического развития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Липецкой области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Регистрационный номер № ______ Дата регистрации заявки __________20___г.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Заявка претендента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Bdr/>
        <w:spacing/>
        <w:ind/>
        <w:contextualSpacing w:val="true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_____________________________________________________________________________направляю заявку на участие в конкурсе на предоставление гранта «Легкий старт» в форме субсидий на </w:t>
      </w:r>
      <w:r>
        <w:rPr>
          <w:sz w:val="24"/>
          <w:szCs w:val="24"/>
          <w:highlight w:val="white"/>
        </w:rPr>
        <w:t xml:space="preserve">финансовое обеспечение </w:t>
      </w:r>
      <w:r>
        <w:rPr>
          <w:color w:val="000000"/>
          <w:sz w:val="24"/>
          <w:szCs w:val="24"/>
          <w:highlight w:val="white"/>
        </w:rPr>
        <w:t xml:space="preserve">затрат начинающих субъектов малого предпринимательства (за исключением производственных кооператив</w:t>
      </w:r>
      <w:r>
        <w:rPr>
          <w:color w:val="000000"/>
          <w:sz w:val="24"/>
          <w:szCs w:val="24"/>
          <w:highlight w:val="white"/>
        </w:rPr>
        <w:t xml:space="preserve">ов, потребительских кооперативов и крестьянских (фермерских) хозяйств), связанных с организацией собственного дела, по одному из приоритетных направлений деятельности в сумме _____________________(__________________________________________) руб. ____ коп.,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Bdr/>
        <w:spacing/>
        <w:ind/>
        <w:contextualSpacing w:val="true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        (сумма цифрами)                            (сумма прописью)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Bdr/>
        <w:spacing/>
        <w:ind/>
        <w:contextualSpacing w:val="true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в том числе за счет средств областного бюджета в сумме ____________________(____________________________________________) руб.____ коп.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Bdr/>
        <w:spacing/>
        <w:ind/>
        <w:contextualSpacing w:val="true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 (сумма цифрами)                                              (сумма прописью)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contextualSpacing w:val="true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contextualSpacing w:val="true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Адрес места регистрации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contextualSpacing w:val="true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Адрес фактического проживания 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contextualSpacing w:val="true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Адрес осуществления деятельности 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ИНН 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Подтверждение факта участия претендента в специальной военной операции 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Наименование проекта «_____________________________________________________»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Вид деятельности (наименование, ОКВЭД)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Телефон, e-mail и другие контакты для оперативной связи  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 условиями и порядком предоставления гранта ознакомлен и обязуюсь: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осуществить государственную регистрацию в качестве субъекта малого предпринимательст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ва и предоставить управлению сведения о регистрации в качестве субъекта малого предпринимательства по форме согласно приложению 2 к настоящему Порядку в течение 15 рабочих дней со дня, следующего за днем получения уведомления о государственной регистрации;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2"/>
        <w:pBdr/>
        <w:spacing w:line="283" w:lineRule="atLeast"/>
        <w:ind w:firstLine="567"/>
        <w:jc w:val="both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highlight w:val="white"/>
        </w:rPr>
        <w:t xml:space="preserve">соответствовать критериям микропредприятия, установленным Федеральным </w:t>
      </w:r>
      <w:hyperlink r:id="rId50" w:tooltip="consultantplus://offline/ref=EFDA7DF67D32324D460BEA75CF4E44B527EE66FE33F5B2D3D4CBCE38653F608E28040E9070977CBEE18942EF0BF6P8J" w:history="1">
        <w:r>
          <w:rPr>
            <w:rFonts w:ascii="Times New Roman" w:hAnsi="Times New Roman" w:cs="Times New Roman"/>
            <w:color w:val="000000" w:themeColor="text1"/>
            <w:szCs w:val="24"/>
            <w:highlight w:val="white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Cs w:val="24"/>
          <w:highlight w:val="white"/>
        </w:rPr>
        <w:t xml:space="preserve"> от 24 </w:t>
      </w:r>
      <w:r>
        <w:rPr>
          <w:rFonts w:ascii="Times New Roman" w:hAnsi="Times New Roman" w:cs="Times New Roman"/>
          <w:szCs w:val="24"/>
          <w:highlight w:val="white"/>
        </w:rPr>
        <w:t xml:space="preserve">июля 2007 года № 209-ФЗ «О развитии малого и среднего предпринимательства в Российской Федерации»;</w:t>
      </w:r>
      <w:r>
        <w:rPr>
          <w:rFonts w:ascii="Times New Roman" w:hAnsi="Times New Roman" w:cs="Times New Roman"/>
          <w:szCs w:val="24"/>
          <w:highlight w:val="white"/>
        </w:rPr>
      </w:r>
      <w:r>
        <w:rPr>
          <w:rFonts w:ascii="Times New Roman" w:hAnsi="Times New Roman" w:cs="Times New Roman"/>
          <w:szCs w:val="24"/>
          <w:highlight w:val="white"/>
        </w:rPr>
      </w:r>
    </w:p>
    <w:p>
      <w:pPr>
        <w:pStyle w:val="91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использовать полученные средства по целевому назначению в строгом соответствии с направлениями затрат, указанными в плане расходов, и оплачивать за счет собственных средств не менее 10 % от размера предоставленного гранта;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использовать грант в течение 12 месяцев со дня поступления гранта на расчетный счет;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2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обеспечить ведение раздельного учета доходов и расходов средств гранта в соответствии с действующим законодательством и доступ к данной информации;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912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обеспечить ведение обособленного аналитического учета операций, осуществляемых за счет гранта;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91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создать не менее 1 нового рабочего места (на полную ставку) в течение 12 месяцев со дня поступления гранта на расчетный счет;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tabs>
          <w:tab w:val="left" w:leader="none" w:pos="851"/>
        </w:tabs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осуществлять деятельность и сохранять созданное рабочее место в течение не менее двух лет со дня поступления гранта на расчетный счет.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Грант будет направлен на финансовое обеспечение затрат, указанных в таблице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«План расходов», по указанным направлениям расходов.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Таблица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План</w:t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расходов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tbl>
      <w:tblPr>
        <w:tblW w:w="9418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80"/>
        <w:gridCol w:w="3494"/>
        <w:gridCol w:w="991"/>
        <w:gridCol w:w="785"/>
        <w:gridCol w:w="2050"/>
        <w:gridCol w:w="141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vAlign w:val="center"/>
            <w:vMerge w:val="restart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vAlign w:val="center"/>
            <w:vMerge w:val="restart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Направления затрат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Кол-во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Align w:val="center"/>
            <w:vMerge w:val="restart"/>
            <w:textDirection w:val="lrTb"/>
            <w:noWrap w:val="false"/>
          </w:tcPr>
          <w:p>
            <w:pPr>
              <w:pStyle w:val="912"/>
              <w:pBdr/>
              <w:spacing/>
              <w:ind w:left="5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Ориентировочная цена, руб./ед.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vMerge w:val="restart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Сумма, руб.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Ед. изм.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vAlign w:val="center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...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В том числе: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за счет средств гранта 90 % затрат, руб., но не более 500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тыс. руб.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4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за счет собственных средств, но не менее 10 % 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от размера предоставленного гранта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, руб.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5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</w:tbl>
    <w:p>
      <w:pPr>
        <w:pStyle w:val="915"/>
        <w:pBdr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Подтверждаю полноту и достоверность сведений, содержащихся в заявке и прилагаемых к ней документах, а также, что на дату подачи заявки: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ционерных обществ  (в том 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астие в капитале указанных публичных акционерных обществ;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 нахожусь в перечне организаций и физических лиц, в отношении которых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не нахожусь в составляемых в рамках реализации полномочий, предусмотренных </w:t>
      </w:r>
      <w:hyperlink r:id="rId51" w:tooltip="https://login.consultant.ru/link/?req=doc&amp;base=LAW&amp;n=121087&amp;dst=100142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  <w:highlight w:val="white"/>
          </w:rPr>
          <w:t xml:space="preserve">главой VII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не являюсь получателем средства из бюджета Липецкой области на основании иных нормативных правовых актов;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не являюсь иностранным агентом в соответствии с Федеральным </w:t>
      </w:r>
      <w:hyperlink r:id="rId52" w:tooltip="https://login.consultant.ru/link/?req=doc&amp;base=LAW&amp;n=452913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  <w:highlight w:val="white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от 14 июля 2022 года №255-ФЗ «О контроле за деятельностью лиц, находящихся по иностранным влиянием»;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 нахожусь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не нахожусь в процессе реорганизации (за исключением реорганизации в форме присоедине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ния к юридическому лицу, являющемуся получателем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 w:before="120"/>
        <w:ind w:firstLine="720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отсутствует просроченная задолженность по возврату в областной бюджет Липецкой области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8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со статьей 9 Федерального закона от 27 июля 2006 года № 152-ФЗ «О персональных данных» даю добровольное согласие управлению экономического развития Липецкой области на обработ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ку, то есть совершение действий, предусмотренных частью 3 статьи 3 Федерального закона от 27 июля 2006 года № 152-ФЗ «О персональных данных», моих персональных данных, указанных в представленных мною документах и необходимых для предоставления мне гранта.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8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Настоящее согласие действует с даты подписания и в течение всего срока предоставления указанного гранта.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8"/>
        <w:pBdr/>
        <w:spacing/>
        <w:ind w:firstLine="567"/>
        <w:contextualSpacing w:val="true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результатах конкурса и заключении соглашения прошу уведомить следующим образом: ____________________________________________________________________.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Претендент ________________________(________________________________________)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(подпись)                                                      (Ф.И.О. полностью)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Дата «___» _____________ 20___ г.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2"/>
        <w:pBdr/>
        <w:spacing/>
        <w:ind/>
        <w:jc w:val="both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912"/>
        <w:pBdr/>
        <w:spacing/>
        <w:ind w:firstLine="567"/>
        <w:jc w:val="center"/>
        <w:rPr>
          <w:rFonts w:ascii="Times New Roman" w:hAnsi="Times New Roman" w:cs="Times New Roman"/>
          <w:color w:val="000000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Cs w:val="24"/>
          <w:highlight w:val="white"/>
        </w:rPr>
        <w:t xml:space="preserve">(линия отреза)</w:t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Заявка и прилагаемые к ней документы на ______ листах приняты должностным лицом управления экономического развития Липецкой области (далее – управление) 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(Ф.И.О. должностного лица управления полностью)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«__» ___________ 20__ г.  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(подпись должностного лица управления)</w:t>
      </w:r>
      <w:r/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12"/>
        <w:pBdr/>
        <w:spacing/>
        <w:ind/>
        <w:jc w:val="right"/>
        <w:outlineLvl w:val="1"/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  <w:t xml:space="preserve">Приложение 2</w:t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  <w:t xml:space="preserve">к П</w:t>
      </w:r>
      <w:r>
        <w:rPr>
          <w:highlight w:val="white"/>
        </w:rPr>
        <w:t xml:space="preserve">орядку предоставлен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  <w:t xml:space="preserve">ия гранта «Легкий старт»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  <w:t xml:space="preserve"> в форме субсидий на финансовое обеспечение затрат начин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  <w:shd w:val="clear" w:color="auto" w:fill="81d41a"/>
        </w:rPr>
        <w:t xml:space="preserve">ающих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  <w:t xml:space="preserve">субъектов малого предпринимательства (за исключением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r>
    </w:p>
    <w:p>
      <w:pPr>
        <w:pStyle w:val="912"/>
        <w:pBdr/>
        <w:spacing/>
        <w:ind/>
        <w:jc w:val="right"/>
        <w:rPr>
          <w:highlight w:val="white"/>
          <w:shd w:val="clear" w:color="auto" w:fill="81d41a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  <w:t xml:space="preserve">производственных кооперати</w:t>
      </w:r>
      <w:r>
        <w:rPr>
          <w:highlight w:val="white"/>
        </w:rPr>
        <w:t xml:space="preserve">вов, потребительских </w:t>
      </w:r>
      <w:r>
        <w:rPr>
          <w:highlight w:val="white"/>
          <w:shd w:val="clear" w:color="auto" w:fill="81d41a"/>
        </w:rPr>
      </w:r>
      <w:r>
        <w:rPr>
          <w:highlight w:val="white"/>
          <w:shd w:val="clear" w:color="auto" w:fill="81d41a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  <w:t xml:space="preserve">кооперативов и крестьянских (фермерских)</w:t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  <w:t xml:space="preserve">хозяйств), связанных с организацией собственного дела</w:t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  <w:t xml:space="preserve"> по одному из приоритетных направлений деятельности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81d41a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pP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81d41a"/>
        </w:rPr>
      </w:r>
    </w:p>
    <w:p>
      <w:pPr>
        <w:pStyle w:val="912"/>
        <w:pBdr/>
        <w:spacing/>
        <w:ind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Форма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Начальнику управления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экономического развития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Липецкой области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Сведения о регистрации в качестве субъекта малого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(наименование ИП, юридического лица)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Таблица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tbl>
      <w:tblPr>
        <w:tblW w:w="9019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0"/>
        <w:gridCol w:w="3747"/>
        <w:gridCol w:w="459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N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Наименование сведений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Значение сведений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Наименование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ОГРНИП/ОГРН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ОКТМО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Место регистрации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(индекс, адрес полностью)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(индекс, адрес полностью)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ИНН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Платежные реквизиты: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Номер расчетного счета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Наименование банка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ИНН банка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БИК банка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Корреспондентский счет банка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7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  <w:t xml:space="preserve">Дата регистрации</w:t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2" w:type="dxa"/>
            <w:textDirection w:val="lrTb"/>
            <w:noWrap w:val="false"/>
          </w:tcPr>
          <w:p>
            <w:pPr>
              <w:pStyle w:val="912"/>
              <w:pBdr/>
              <w:spacing/>
              <w:ind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r>
          </w:p>
        </w:tc>
      </w:tr>
    </w:tbl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_____________________________   _____________ (_____________________)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(подпись)               (расшифровка подписи)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(Наименование субъекта                  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малого предпринимательства)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М.П. (при наличии)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</w:r>
    </w:p>
    <w:p>
      <w:pPr>
        <w:pStyle w:val="915"/>
        <w:pBdr/>
        <w:spacing/>
        <w:ind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Дата «____» _____________ 20____ г.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Bdr/>
        <w:spacing/>
        <w:ind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12"/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40" w:orient="portrait" w:w="11910"/>
      <w:pgMar w:top="480" w:right="429" w:bottom="280" w:left="1276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140" w:left="2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40" w:left="1310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140" w:left="2361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140" w:left="3411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140" w:left="446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40" w:left="5513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140" w:left="6563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140" w:left="7614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140" w:left="8665"/>
      </w:pPr>
      <w:rPr>
        <w:rFonts w:hint="default"/>
        <w:lang w:val="ru-RU" w:eastAsia="en-US" w:bidi="ar-SA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ascii="Times New Roman" w:hAnsi="Times New Roman" w:eastAsia="Calibri" w:cs="Times New Roman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space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260" w:left="1008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0" w:left="159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60" w:left="219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260" w:left="279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60" w:left="339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260" w:left="399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260" w:left="458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260" w:left="518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260" w:left="5785"/>
      </w:pPr>
      <w:rPr>
        <w:rFonts w:hint="default"/>
        <w:lang w:val="ru-RU" w:eastAsia="en-US" w:bidi="ar-SA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272" w:left="107"/>
      </w:pPr>
      <w:rPr>
        <w:rFonts w:hint="default" w:ascii="Times New Roman" w:hAnsi="Times New Roman" w:eastAsia="Times New Roman" w:cs="Times New Roman"/>
        <w:spacing w:val="-30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72" w:left="78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272" w:left="147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272" w:left="216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72" w:left="285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272" w:left="354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272" w:left="422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272" w:left="491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272" w:left="5605"/>
      </w:pPr>
      <w:rPr>
        <w:rFonts w:hint="default"/>
        <w:lang w:val="ru-RU" w:eastAsia="en-US" w:bidi="ar-SA"/>
      </w:rPr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159" w:left="10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59" w:left="78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159" w:left="147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159" w:left="216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159" w:left="285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59" w:left="354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159" w:left="422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159" w:left="491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159" w:left="5605"/>
      </w:pPr>
      <w:rPr>
        <w:rFonts w:hint="default"/>
        <w:lang w:val="ru-RU" w:eastAsia="en-US" w:bidi="ar-SA"/>
      </w:rPr>
      <w:start w:val="1"/>
      <w:suff w:val="tab"/>
    </w:lvl>
  </w:abstractNum>
  <w:abstractNum w:abstractNumId="8">
    <w:lvl w:ilvl="0">
      <w:isLgl w:val="false"/>
      <w:lvlJc w:val="left"/>
      <w:lvlText w:val="%1)"/>
      <w:numFmt w:val="decimal"/>
      <w:pPr>
        <w:pBdr/>
        <w:spacing/>
        <w:ind w:hanging="862" w:left="107"/>
      </w:pPr>
      <w:rPr>
        <w:rFonts w:hint="default" w:ascii="Times New Roman" w:hAnsi="Times New Roman" w:eastAsia="Times New Roman" w:cs="Times New Roman"/>
        <w:spacing w:val="-6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78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147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216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285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354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22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491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605"/>
      </w:pPr>
      <w:rPr>
        <w:rFonts w:hint="default"/>
        <w:lang w:val="ru-RU" w:eastAsia="en-US" w:bidi="ar-SA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862" w:left="107"/>
      </w:pPr>
      <w:rPr>
        <w:rFonts w:hint="default" w:ascii="Times New Roman" w:hAnsi="Times New Roman" w:eastAsia="Times New Roman" w:cs="Times New Roman"/>
        <w:spacing w:val="-12"/>
        <w:sz w:val="24"/>
        <w:szCs w:val="24"/>
        <w:lang w:val="ru-RU" w:eastAsia="en-US" w:bidi="ar-SA"/>
      </w:rPr>
      <w:start w:val="2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78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147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216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285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354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22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491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605"/>
      </w:pPr>
      <w:rPr>
        <w:rFonts w:hint="default"/>
        <w:lang w:val="ru-RU" w:eastAsia="en-US" w:bidi="ar-SA"/>
      </w:rPr>
      <w:start w:val="1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862" w:left="1523"/>
      </w:pPr>
      <w:rPr>
        <w:rFonts w:hint="default" w:ascii="Times New Roman" w:hAnsi="Times New Roman" w:eastAsia="Times New Roman" w:cs="Times New Roman"/>
        <w:spacing w:val="-1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862" w:left="2066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862" w:left="2612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862" w:left="3158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2" w:left="3704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862" w:left="425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862" w:left="4797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862" w:left="5343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862" w:left="5889"/>
      </w:pPr>
      <w:rPr>
        <w:rFonts w:hint="default"/>
        <w:lang w:val="ru-RU" w:eastAsia="en-US" w:bidi="ar-SA"/>
      </w:rPr>
      <w:start w:val="1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ascii="Calibri" w:hAnsi="Calibri" w:eastAsia="Times New Roman" w:cs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1110" w:left="172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9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1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3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5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7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9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1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34"/>
      </w:pPr>
      <w:rPr/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–"/>
      <w:numFmt w:val="bullet"/>
      <w:pPr>
        <w:pBdr/>
        <w:spacing/>
        <w:ind w:hanging="336" w:left="107"/>
      </w:pPr>
      <w:rPr>
        <w:rFonts w:hint="default" w:ascii="Times New Roman" w:hAnsi="Times New Roman" w:eastAsia="Times New Roman" w:cs="Times New Roman"/>
        <w:spacing w:val="-26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336" w:left="788"/>
      </w:pPr>
      <w:rPr>
        <w:rFonts w:hint="default"/>
        <w:lang w:val="ru-RU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336" w:left="1476"/>
      </w:pPr>
      <w:rPr>
        <w:rFonts w:hint="default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336" w:left="2164"/>
      </w:pPr>
      <w:rPr>
        <w:rFonts w:hint="default"/>
        <w:lang w:val="ru-RU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336" w:left="2852"/>
      </w:pPr>
      <w:rPr>
        <w:rFonts w:hint="default"/>
        <w:lang w:val="ru-RU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336" w:left="3541"/>
      </w:pPr>
      <w:rPr>
        <w:rFonts w:hint="default"/>
        <w:lang w:val="ru-RU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336" w:left="4229"/>
      </w:pPr>
      <w:rPr>
        <w:rFonts w:hint="default"/>
        <w:lang w:val="ru-RU" w:eastAsia="en-US" w:bidi="ar-SA"/>
      </w:rPr>
      <w:start w:val="1"/>
      <w:suff w:val="tab"/>
    </w:lvl>
    <w:lvl w:ilvl="7">
      <w:isLgl w:val="false"/>
      <w:lvlJc w:val="left"/>
      <w:lvlText w:val="•"/>
      <w:numFmt w:val="bullet"/>
      <w:pPr>
        <w:pBdr/>
        <w:spacing/>
        <w:ind w:hanging="336" w:left="4917"/>
      </w:pPr>
      <w:rPr>
        <w:rFonts w:hint="default"/>
        <w:lang w:val="ru-RU" w:eastAsia="en-US" w:bidi="ar-SA"/>
      </w:rPr>
      <w:start w:val="1"/>
      <w:suff w:val="tab"/>
    </w:lvl>
    <w:lvl w:ilvl="8">
      <w:isLgl w:val="false"/>
      <w:lvlJc w:val="left"/>
      <w:lvlText w:val="•"/>
      <w:numFmt w:val="bullet"/>
      <w:pPr>
        <w:pBdr/>
        <w:spacing/>
        <w:ind w:hanging="336" w:left="5605"/>
      </w:pPr>
      <w:rPr>
        <w:rFonts w:hint="default"/>
        <w:lang w:val="ru-RU" w:eastAsia="en-US" w:bidi="ar-SA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75" w:left="942"/>
      </w:pPr>
      <w:rPr>
        <w:rFonts w:hint="default"/>
      </w:rPr>
      <w:start w:val="14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space"/>
    </w:lvl>
  </w:abstractNum>
  <w:abstractNum w:abstractNumId="17">
    <w:lvl w:ilvl="0">
      <w:isLgl w:val="false"/>
      <w:lvlJc w:val="left"/>
      <w:lvlText w:val="%1."/>
      <w:numFmt w:val="upperRoman"/>
      <w:pPr>
        <w:pBdr/>
        <w:spacing/>
        <w:ind w:hanging="720" w:left="3556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91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463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535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607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79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751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823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956"/>
      </w:pPr>
      <w:rPr/>
      <w:start w:val="1"/>
      <w:suff w:val="tab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5"/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  <w:num w:numId="15">
    <w:abstractNumId w:val="9"/>
  </w:num>
  <w:num w:numId="16">
    <w:abstractNumId w:val="3"/>
  </w:num>
  <w:num w:numId="17">
    <w:abstractNumId w:val="6"/>
  </w:num>
  <w:num w:numId="18">
    <w:abstractNumId w:val="1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/>
    </w:rPr>
  </w:style>
  <w:style w:type="paragraph" w:styleId="705">
    <w:name w:val="Heading 1"/>
    <w:basedOn w:val="704"/>
    <w:link w:val="741"/>
    <w:uiPriority w:val="1"/>
    <w:qFormat/>
    <w:pPr>
      <w:pBdr/>
      <w:spacing w:before="89"/>
      <w:ind w:right="591"/>
      <w:jc w:val="right"/>
      <w:outlineLvl w:val="0"/>
    </w:pPr>
    <w:rPr>
      <w:sz w:val="26"/>
      <w:szCs w:val="26"/>
    </w:rPr>
  </w:style>
  <w:style w:type="paragraph" w:styleId="706">
    <w:name w:val="Heading 2"/>
    <w:basedOn w:val="704"/>
    <w:next w:val="704"/>
    <w:link w:val="7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link w:val="74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4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704"/>
    <w:next w:val="704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11">
    <w:name w:val="Heading 7"/>
    <w:basedOn w:val="704"/>
    <w:next w:val="704"/>
    <w:link w:val="74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12">
    <w:name w:val="Heading 8"/>
    <w:basedOn w:val="704"/>
    <w:next w:val="704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13">
    <w:name w:val="Heading 9"/>
    <w:basedOn w:val="704"/>
    <w:next w:val="704"/>
    <w:link w:val="74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  <w:pPr>
      <w:pBdr/>
      <w:spacing/>
      <w:ind/>
    </w:pPr>
  </w:style>
  <w:style w:type="table" w:styleId="71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6" w:default="1">
    <w:name w:val="No List"/>
    <w:uiPriority w:val="99"/>
    <w:semiHidden/>
    <w:unhideWhenUsed/>
    <w:pPr>
      <w:pBdr/>
      <w:spacing/>
      <w:ind/>
    </w:pPr>
  </w:style>
  <w:style w:type="character" w:styleId="717" w:customStyle="1">
    <w:name w:val="Heading 1 Char"/>
    <w:basedOn w:val="71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718" w:customStyle="1">
    <w:name w:val="Heading 2 Char"/>
    <w:basedOn w:val="71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719" w:customStyle="1">
    <w:name w:val="Heading 3 Char"/>
    <w:basedOn w:val="71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720" w:customStyle="1">
    <w:name w:val="Heading 4 Char"/>
    <w:basedOn w:val="714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721" w:customStyle="1">
    <w:name w:val="Heading 5 Char"/>
    <w:basedOn w:val="71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722" w:customStyle="1">
    <w:name w:val="Heading 6 Char"/>
    <w:basedOn w:val="71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3" w:customStyle="1">
    <w:name w:val="Heading 7 Char"/>
    <w:basedOn w:val="71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4" w:customStyle="1">
    <w:name w:val="Heading 8 Char"/>
    <w:basedOn w:val="7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 w:customStyle="1">
    <w:name w:val="Heading 9 Char"/>
    <w:basedOn w:val="7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6" w:customStyle="1">
    <w:name w:val="Title Char"/>
    <w:basedOn w:val="7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7" w:customStyle="1">
    <w:name w:val="Subtitle Char"/>
    <w:basedOn w:val="7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8" w:customStyle="1">
    <w:name w:val="Quote Char"/>
    <w:basedOn w:val="7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9" w:customStyle="1">
    <w:name w:val="Intense Quote Char"/>
    <w:basedOn w:val="714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730" w:customStyle="1">
    <w:name w:val="Header Char"/>
    <w:basedOn w:val="714"/>
    <w:uiPriority w:val="99"/>
    <w:pPr>
      <w:pBdr/>
      <w:spacing/>
      <w:ind/>
    </w:pPr>
  </w:style>
  <w:style w:type="character" w:styleId="731" w:customStyle="1">
    <w:name w:val="Footnote Text Char"/>
    <w:basedOn w:val="714"/>
    <w:uiPriority w:val="99"/>
    <w:semiHidden/>
    <w:pPr>
      <w:pBdr/>
      <w:spacing/>
      <w:ind/>
    </w:pPr>
    <w:rPr>
      <w:sz w:val="20"/>
      <w:szCs w:val="20"/>
    </w:rPr>
  </w:style>
  <w:style w:type="character" w:styleId="732" w:customStyle="1">
    <w:name w:val="Endnote Text Char"/>
    <w:basedOn w:val="714"/>
    <w:uiPriority w:val="99"/>
    <w:semiHidden/>
    <w:pPr>
      <w:pBdr/>
      <w:spacing/>
      <w:ind/>
    </w:pPr>
    <w:rPr>
      <w:sz w:val="20"/>
      <w:szCs w:val="20"/>
    </w:rPr>
  </w:style>
  <w:style w:type="character" w:styleId="733">
    <w:name w:val="Intense Emphasis"/>
    <w:basedOn w:val="714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34">
    <w:name w:val="Intense Reference"/>
    <w:basedOn w:val="714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35">
    <w:name w:val="Subtle Emphasis"/>
    <w:basedOn w:val="71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6">
    <w:name w:val="Emphasis"/>
    <w:basedOn w:val="714"/>
    <w:uiPriority w:val="20"/>
    <w:qFormat/>
    <w:pPr>
      <w:pBdr/>
      <w:spacing/>
      <w:ind/>
    </w:pPr>
    <w:rPr>
      <w:i/>
      <w:iCs/>
    </w:rPr>
  </w:style>
  <w:style w:type="character" w:styleId="737">
    <w:name w:val="Strong"/>
    <w:basedOn w:val="714"/>
    <w:uiPriority w:val="22"/>
    <w:qFormat/>
    <w:pPr>
      <w:pBdr/>
      <w:spacing/>
      <w:ind/>
    </w:pPr>
    <w:rPr>
      <w:b/>
      <w:bCs/>
    </w:rPr>
  </w:style>
  <w:style w:type="character" w:styleId="738">
    <w:name w:val="Subtle Reference"/>
    <w:basedOn w:val="71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9">
    <w:name w:val="Book Title"/>
    <w:basedOn w:val="71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0">
    <w:name w:val="FollowedHyperlink"/>
    <w:basedOn w:val="714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41" w:customStyle="1">
    <w:name w:val="Заголовок 1 Знак"/>
    <w:basedOn w:val="714"/>
    <w:link w:val="70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basedOn w:val="714"/>
    <w:link w:val="70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43" w:customStyle="1">
    <w:name w:val="Заголовок 3 Знак"/>
    <w:basedOn w:val="714"/>
    <w:link w:val="70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basedOn w:val="714"/>
    <w:link w:val="70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basedOn w:val="714"/>
    <w:link w:val="70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basedOn w:val="714"/>
    <w:link w:val="71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basedOn w:val="714"/>
    <w:link w:val="71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14"/>
    <w:link w:val="71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basedOn w:val="714"/>
    <w:link w:val="71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uiPriority w:val="1"/>
    <w:qFormat/>
    <w:pPr>
      <w:pBdr/>
      <w:spacing/>
      <w:ind/>
    </w:pPr>
  </w:style>
  <w:style w:type="paragraph" w:styleId="751">
    <w:name w:val="Title"/>
    <w:basedOn w:val="704"/>
    <w:next w:val="704"/>
    <w:link w:val="75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2" w:customStyle="1">
    <w:name w:val="Заголовок Знак"/>
    <w:basedOn w:val="714"/>
    <w:link w:val="751"/>
    <w:uiPriority w:val="10"/>
    <w:pPr>
      <w:pBdr/>
      <w:spacing/>
      <w:ind/>
    </w:pPr>
    <w:rPr>
      <w:sz w:val="48"/>
      <w:szCs w:val="48"/>
    </w:rPr>
  </w:style>
  <w:style w:type="paragraph" w:styleId="753">
    <w:name w:val="Subtitle"/>
    <w:basedOn w:val="704"/>
    <w:next w:val="704"/>
    <w:link w:val="75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4" w:customStyle="1">
    <w:name w:val="Подзаголовок Знак"/>
    <w:basedOn w:val="714"/>
    <w:link w:val="753"/>
    <w:uiPriority w:val="11"/>
    <w:pPr>
      <w:pBdr/>
      <w:spacing/>
      <w:ind/>
    </w:pPr>
    <w:rPr>
      <w:sz w:val="24"/>
      <w:szCs w:val="24"/>
    </w:rPr>
  </w:style>
  <w:style w:type="paragraph" w:styleId="755">
    <w:name w:val="Quote"/>
    <w:basedOn w:val="704"/>
    <w:next w:val="704"/>
    <w:link w:val="756"/>
    <w:uiPriority w:val="29"/>
    <w:qFormat/>
    <w:pPr>
      <w:pBdr/>
      <w:spacing/>
      <w:ind w:right="720" w:left="720"/>
    </w:pPr>
    <w:rPr>
      <w:i/>
    </w:rPr>
  </w:style>
  <w:style w:type="character" w:styleId="756" w:customStyle="1">
    <w:name w:val="Цитата 2 Знак"/>
    <w:link w:val="755"/>
    <w:uiPriority w:val="29"/>
    <w:pPr>
      <w:pBdr/>
      <w:spacing/>
      <w:ind/>
    </w:pPr>
    <w:rPr>
      <w:i/>
    </w:rPr>
  </w:style>
  <w:style w:type="paragraph" w:styleId="757">
    <w:name w:val="Intense Quote"/>
    <w:basedOn w:val="704"/>
    <w:next w:val="704"/>
    <w:link w:val="75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8" w:customStyle="1">
    <w:name w:val="Выделенная цитата Знак"/>
    <w:link w:val="757"/>
    <w:uiPriority w:val="30"/>
    <w:pPr>
      <w:pBdr/>
      <w:spacing/>
      <w:ind/>
    </w:pPr>
    <w:rPr>
      <w:i/>
    </w:rPr>
  </w:style>
  <w:style w:type="paragraph" w:styleId="759">
    <w:name w:val="Header"/>
    <w:basedOn w:val="704"/>
    <w:link w:val="760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60" w:customStyle="1">
    <w:name w:val="Верхний колонтитул Знак"/>
    <w:basedOn w:val="714"/>
    <w:link w:val="759"/>
    <w:uiPriority w:val="99"/>
    <w:pPr>
      <w:pBdr/>
      <w:spacing/>
      <w:ind/>
    </w:pPr>
  </w:style>
  <w:style w:type="paragraph" w:styleId="761">
    <w:name w:val="Footer"/>
    <w:basedOn w:val="704"/>
    <w:link w:val="76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62" w:customStyle="1">
    <w:name w:val="Footer Char"/>
    <w:basedOn w:val="714"/>
    <w:uiPriority w:val="99"/>
    <w:pPr>
      <w:pBdr/>
      <w:spacing/>
      <w:ind/>
    </w:pPr>
  </w:style>
  <w:style w:type="paragraph" w:styleId="763">
    <w:name w:val="Caption"/>
    <w:basedOn w:val="704"/>
    <w:next w:val="70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4" w:customStyle="1">
    <w:name w:val="Нижний колонтитул Знак"/>
    <w:link w:val="761"/>
    <w:uiPriority w:val="99"/>
    <w:pPr>
      <w:pBdr/>
      <w:spacing/>
      <w:ind/>
    </w:pPr>
  </w:style>
  <w:style w:type="table" w:styleId="765">
    <w:name w:val="Table Grid"/>
    <w:basedOn w:val="715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Table Grid Light"/>
    <w:basedOn w:val="715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1"/>
    <w:basedOn w:val="715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2"/>
    <w:basedOn w:val="715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3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4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5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1 Light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1 Light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1 Light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1 Light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1 Light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2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1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2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2 - Accent 3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2 - Accent 4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2 - Accent 5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2 - Accent 6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3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1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2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3 - Accent 3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3 - Accent 4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3 - Accent 5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3 - Accent 6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4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1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2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4 - Accent 3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4 - Accent 4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4 - Accent 5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4 - Accent 6"/>
    <w:basedOn w:val="715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5 Dark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5 Dark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5 Dark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5 Dark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5 Dark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6 Colorful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6 Colorful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6 Colorful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6 Colorful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6 Colorful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7 Colorful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1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2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7 Colorful - Accent 3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7 Colorful - Accent 4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7 Colorful - Accent 5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7 Colorful - Accent 6"/>
    <w:basedOn w:val="715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1 Light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1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2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1 Light - Accent 3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1 Light - Accent 4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1 Light - Accent 5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1 Light - Accent 6"/>
    <w:basedOn w:val="71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2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2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2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2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3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3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3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3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4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4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4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4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5 Dark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5 Dark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5 Dark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5 Dark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5 Dark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6 Colorful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6 Colorful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6 Colorful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6 Colorful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6 Colorful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7 Colorful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1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2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7 Colorful - Accent 3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7 Colorful - Accent 4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7 Colorful - Accent 5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7 Colorful - Accent 6"/>
    <w:basedOn w:val="715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1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2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ned - Accent 3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ned - Accent 4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ned - Accent 5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ned - Accent 6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1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2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&amp; Lined - Accent 3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&amp; Lined - Accent 4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&amp; Lined - Accent 5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&amp; Lined - Accent 6"/>
    <w:basedOn w:val="715"/>
    <w:uiPriority w:val="99"/>
    <w:pPr>
      <w:pBdr/>
      <w:spacing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1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2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- Accent 3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- Accent 4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- Accent 5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- Accent 6"/>
    <w:basedOn w:val="715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1">
    <w:name w:val="footnote text"/>
    <w:basedOn w:val="704"/>
    <w:link w:val="892"/>
    <w:uiPriority w:val="99"/>
    <w:semiHidden/>
    <w:unhideWhenUsed/>
    <w:pPr>
      <w:pBdr/>
      <w:spacing w:after="40"/>
      <w:ind/>
    </w:pPr>
    <w:rPr>
      <w:sz w:val="18"/>
    </w:rPr>
  </w:style>
  <w:style w:type="character" w:styleId="892" w:customStyle="1">
    <w:name w:val="Текст сноски Знак"/>
    <w:link w:val="891"/>
    <w:uiPriority w:val="99"/>
    <w:pPr>
      <w:pBdr/>
      <w:spacing/>
      <w:ind/>
    </w:pPr>
    <w:rPr>
      <w:sz w:val="18"/>
    </w:rPr>
  </w:style>
  <w:style w:type="character" w:styleId="893">
    <w:name w:val="footnote reference"/>
    <w:basedOn w:val="714"/>
    <w:uiPriority w:val="99"/>
    <w:unhideWhenUsed/>
    <w:pPr>
      <w:pBdr/>
      <w:spacing/>
      <w:ind/>
    </w:pPr>
    <w:rPr>
      <w:vertAlign w:val="superscript"/>
    </w:rPr>
  </w:style>
  <w:style w:type="paragraph" w:styleId="894">
    <w:name w:val="endnote text"/>
    <w:basedOn w:val="704"/>
    <w:link w:val="895"/>
    <w:uiPriority w:val="99"/>
    <w:semiHidden/>
    <w:unhideWhenUsed/>
    <w:pPr>
      <w:pBdr/>
      <w:spacing/>
      <w:ind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pPr>
      <w:pBdr/>
      <w:spacing/>
      <w:ind/>
    </w:pPr>
    <w:rPr>
      <w:sz w:val="20"/>
    </w:rPr>
  </w:style>
  <w:style w:type="character" w:styleId="896">
    <w:name w:val="endnote reference"/>
    <w:basedOn w:val="714"/>
    <w:uiPriority w:val="99"/>
    <w:semiHidden/>
    <w:unhideWhenUsed/>
    <w:pPr>
      <w:pBdr/>
      <w:spacing/>
      <w:ind/>
    </w:pPr>
    <w:rPr>
      <w:vertAlign w:val="superscript"/>
    </w:rPr>
  </w:style>
  <w:style w:type="paragraph" w:styleId="897">
    <w:name w:val="toc 1"/>
    <w:basedOn w:val="704"/>
    <w:next w:val="704"/>
    <w:uiPriority w:val="39"/>
    <w:unhideWhenUsed/>
    <w:pPr>
      <w:pBdr/>
      <w:spacing w:after="57"/>
      <w:ind/>
    </w:pPr>
  </w:style>
  <w:style w:type="paragraph" w:styleId="898">
    <w:name w:val="toc 2"/>
    <w:basedOn w:val="704"/>
    <w:next w:val="704"/>
    <w:uiPriority w:val="39"/>
    <w:unhideWhenUsed/>
    <w:pPr>
      <w:pBdr/>
      <w:spacing w:after="57"/>
      <w:ind w:left="283"/>
    </w:pPr>
  </w:style>
  <w:style w:type="paragraph" w:styleId="899">
    <w:name w:val="toc 3"/>
    <w:basedOn w:val="704"/>
    <w:next w:val="704"/>
    <w:uiPriority w:val="39"/>
    <w:unhideWhenUsed/>
    <w:pPr>
      <w:pBdr/>
      <w:spacing w:after="57"/>
      <w:ind w:left="567"/>
    </w:pPr>
  </w:style>
  <w:style w:type="paragraph" w:styleId="900">
    <w:name w:val="toc 4"/>
    <w:basedOn w:val="704"/>
    <w:next w:val="704"/>
    <w:uiPriority w:val="39"/>
    <w:unhideWhenUsed/>
    <w:pPr>
      <w:pBdr/>
      <w:spacing w:after="57"/>
      <w:ind w:left="850"/>
    </w:pPr>
  </w:style>
  <w:style w:type="paragraph" w:styleId="901">
    <w:name w:val="toc 5"/>
    <w:basedOn w:val="704"/>
    <w:next w:val="704"/>
    <w:uiPriority w:val="39"/>
    <w:unhideWhenUsed/>
    <w:pPr>
      <w:pBdr/>
      <w:spacing w:after="57"/>
      <w:ind w:left="1134"/>
    </w:pPr>
  </w:style>
  <w:style w:type="paragraph" w:styleId="902">
    <w:name w:val="toc 6"/>
    <w:basedOn w:val="704"/>
    <w:next w:val="704"/>
    <w:uiPriority w:val="39"/>
    <w:unhideWhenUsed/>
    <w:pPr>
      <w:pBdr/>
      <w:spacing w:after="57"/>
      <w:ind w:left="1417"/>
    </w:pPr>
  </w:style>
  <w:style w:type="paragraph" w:styleId="903">
    <w:name w:val="toc 7"/>
    <w:basedOn w:val="704"/>
    <w:next w:val="704"/>
    <w:uiPriority w:val="39"/>
    <w:unhideWhenUsed/>
    <w:pPr>
      <w:pBdr/>
      <w:spacing w:after="57"/>
      <w:ind w:left="1701"/>
    </w:pPr>
  </w:style>
  <w:style w:type="paragraph" w:styleId="904">
    <w:name w:val="toc 8"/>
    <w:basedOn w:val="704"/>
    <w:next w:val="704"/>
    <w:uiPriority w:val="39"/>
    <w:unhideWhenUsed/>
    <w:pPr>
      <w:pBdr/>
      <w:spacing w:after="57"/>
      <w:ind w:left="1984"/>
    </w:pPr>
  </w:style>
  <w:style w:type="paragraph" w:styleId="905">
    <w:name w:val="toc 9"/>
    <w:basedOn w:val="704"/>
    <w:next w:val="704"/>
    <w:uiPriority w:val="39"/>
    <w:unhideWhenUsed/>
    <w:pPr>
      <w:pBdr/>
      <w:spacing w:after="57"/>
      <w:ind w:left="2268"/>
    </w:pPr>
  </w:style>
  <w:style w:type="paragraph" w:styleId="906">
    <w:name w:val="TOC Heading"/>
    <w:uiPriority w:val="39"/>
    <w:unhideWhenUsed/>
    <w:pPr>
      <w:pBdr/>
      <w:spacing/>
      <w:ind/>
    </w:pPr>
  </w:style>
  <w:style w:type="paragraph" w:styleId="907">
    <w:name w:val="table of figures"/>
    <w:basedOn w:val="704"/>
    <w:next w:val="704"/>
    <w:uiPriority w:val="99"/>
    <w:unhideWhenUsed/>
    <w:pPr>
      <w:pBdr/>
      <w:spacing/>
      <w:ind/>
    </w:pPr>
  </w:style>
  <w:style w:type="table" w:styleId="908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9">
    <w:name w:val="Body Text"/>
    <w:basedOn w:val="704"/>
    <w:uiPriority w:val="1"/>
    <w:qFormat/>
    <w:pPr>
      <w:pBdr/>
      <w:spacing/>
      <w:ind/>
    </w:pPr>
    <w:rPr>
      <w:sz w:val="24"/>
      <w:szCs w:val="24"/>
    </w:rPr>
  </w:style>
  <w:style w:type="paragraph" w:styleId="910">
    <w:name w:val="List Paragraph"/>
    <w:basedOn w:val="704"/>
    <w:uiPriority w:val="99"/>
    <w:qFormat/>
    <w:pPr>
      <w:pBdr/>
      <w:spacing/>
      <w:ind w:left="252"/>
      <w:jc w:val="both"/>
    </w:pPr>
  </w:style>
  <w:style w:type="paragraph" w:styleId="911" w:customStyle="1">
    <w:name w:val="Table Paragraph"/>
    <w:basedOn w:val="704"/>
    <w:uiPriority w:val="1"/>
    <w:qFormat/>
    <w:pPr>
      <w:pBdr/>
      <w:spacing/>
      <w:ind w:left="107"/>
    </w:pPr>
  </w:style>
  <w:style w:type="paragraph" w:styleId="912" w:customStyle="1">
    <w:name w:val="ConsPlusNormal"/>
    <w:pPr>
      <w:pBdr/>
      <w:spacing/>
      <w:ind/>
    </w:pPr>
    <w:rPr>
      <w:rFonts w:ascii="Calibri" w:hAnsi="Calibri" w:eastAsia="Times New Roman" w:cs="Calibri"/>
      <w:szCs w:val="20"/>
      <w:lang w:val="ru-RU" w:eastAsia="ru-RU"/>
    </w:rPr>
  </w:style>
  <w:style w:type="paragraph" w:styleId="913">
    <w:name w:val="HTML Preformatted"/>
    <w:basedOn w:val="704"/>
    <w:link w:val="914"/>
    <w:uiPriority w:val="99"/>
    <w:semiHidden/>
    <w:unhideWhenUsed/>
    <w:pPr>
      <w:widowControl w:val="true"/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Calibri"/>
      <w:sz w:val="20"/>
      <w:szCs w:val="20"/>
      <w:lang w:eastAsia="ru-RU"/>
    </w:rPr>
  </w:style>
  <w:style w:type="character" w:styleId="914" w:customStyle="1">
    <w:name w:val="Стандартный HTML Знак"/>
    <w:basedOn w:val="714"/>
    <w:link w:val="913"/>
    <w:uiPriority w:val="99"/>
    <w:semiHidden/>
    <w:pPr>
      <w:pBdr/>
      <w:spacing/>
      <w:ind/>
    </w:pPr>
    <w:rPr>
      <w:rFonts w:ascii="Courier New" w:hAnsi="Courier New" w:eastAsia="Calibri" w:cs="Times New Roman"/>
      <w:sz w:val="20"/>
      <w:szCs w:val="20"/>
      <w:lang w:val="ru-RU" w:eastAsia="ru-RU"/>
    </w:rPr>
  </w:style>
  <w:style w:type="paragraph" w:styleId="915" w:customStyle="1">
    <w:name w:val="ConsPlusNonformat"/>
    <w:pPr>
      <w:pBdr/>
      <w:spacing/>
      <w:ind/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916">
    <w:name w:val="Hyperlink"/>
    <w:basedOn w:val="714"/>
    <w:uiPriority w:val="99"/>
    <w:unhideWhenUsed/>
    <w:pPr>
      <w:pBdr/>
      <w:spacing/>
      <w:ind/>
    </w:pPr>
    <w:rPr>
      <w:color w:val="0000ff"/>
      <w:u w:val="single"/>
    </w:rPr>
  </w:style>
  <w:style w:type="character" w:styleId="917" w:customStyle="1">
    <w:name w:val="allowtextselection"/>
    <w:basedOn w:val="714"/>
    <w:pPr>
      <w:pBdr/>
      <w:spacing/>
      <w:ind/>
    </w:pPr>
  </w:style>
  <w:style w:type="paragraph" w:styleId="918" w:customStyle="1">
    <w:name w:val="Стандартный HTML1"/>
    <w:uiPriority w:val="99"/>
    <w:semiHidden/>
    <w:unhideWhenUsed/>
    <w:pPr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eastAsia="Times New Roman" w:cs="Courier New"/>
      <w:sz w:val="20"/>
      <w:szCs w:val="20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101;&#1082;&#1086;&#1085;&#1086;&#1084;&#1080;&#1082;&#1072;.&#1083;&#1080;&#1087;&#1077;&#1094;&#1082;&#1072;&#1103;&#1086;&#1073;&#1083;&#1072;&#1089;&#1090;&#1100;.&#1088;&#1092;" TargetMode="External"/><Relationship Id="rId10" Type="http://schemas.openxmlformats.org/officeDocument/2006/relationships/hyperlink" Target="https://&#1101;&#1082;&#1086;&#1085;&#1086;&#1084;&#1080;&#1082;&#1072;.&#1083;&#1080;&#1087;&#1077;&#1094;&#1082;&#1072;&#1103;&#1086;&#1073;&#1083;&#1072;&#1089;&#1090;&#1100;.&#1088;&#1092;/document" TargetMode="External"/><Relationship Id="rId11" Type="http://schemas.openxmlformats.org/officeDocument/2006/relationships/hyperlink" Target="consultantplus://offline/ref=01DB43AF7C0C72892532F5DFF29490888E1A575DFD2119A6E9B179B3EE2DB76696F7F3C43954F41784B6F9CE1653D7C8B962B19EEE3B1524BCxEI" TargetMode="External"/><Relationship Id="rId12" Type="http://schemas.openxmlformats.org/officeDocument/2006/relationships/hyperlink" Target="consultantplus://offline/ref=01DB43AF7C0C72892532F5DFF29490888B1A565FF62619A6E9B179B3EE2DB76696F7F3C43954F51286B6F9CE1653D7C8B962B19EEE3B1524BCxEI" TargetMode="External"/><Relationship Id="rId13" Type="http://schemas.openxmlformats.org/officeDocument/2006/relationships/hyperlink" Target="consultantplus://offline/ref=01DB43AF7C0C72892532F5DFF29490888E1D5556FF2219A6E9B179B3EE2DB76684F7ABC83B5DEA1785A3AF9F50B0x5I" TargetMode="External"/><Relationship Id="rId14" Type="http://schemas.openxmlformats.org/officeDocument/2006/relationships/hyperlink" Target="https://login.consultant.ru/link/?req=doc&amp;base=LAW&amp;n=472841&amp;date=06.06.2024&amp;dst=5769&amp;field=134" TargetMode="External"/><Relationship Id="rId15" Type="http://schemas.openxmlformats.org/officeDocument/2006/relationships/hyperlink" Target="https://login.consultant.ru/link/?req=doc&amp;base=LAW&amp;n=472841&amp;date=06.06.2024&amp;dst=5769&amp;field=134" TargetMode="External"/><Relationship Id="rId16" Type="http://schemas.openxmlformats.org/officeDocument/2006/relationships/hyperlink" Target="consultantplus://offline/ref=EFDA7DF67D32324D460BEA75CF4E44B527EE66FE33F5B2D3D4CBCE38653F608E28040E9070977CBEE18942EF0BF6P8J" TargetMode="External"/><Relationship Id="rId17" Type="http://schemas.openxmlformats.org/officeDocument/2006/relationships/hyperlink" Target="consultantplus://offline/ref=EFDA7DF67D32324D460BEA75CF4E44B527EE6EF133F9B2D3D4CBCE38653F608E28040E9070977CBEE18942EF0BF6P8J" TargetMode="External"/><Relationship Id="rId18" Type="http://schemas.openxmlformats.org/officeDocument/2006/relationships/hyperlink" Target="https://login.consultant.ru/link/?req=doc&amp;base=LAW&amp;n=468900&amp;dst=100133" TargetMode="External"/><Relationship Id="rId19" Type="http://schemas.openxmlformats.org/officeDocument/2006/relationships/hyperlink" Target="https://login.consultant.ru/link/?req=doc&amp;base=LAW&amp;n=468900&amp;dst=103016" TargetMode="External"/><Relationship Id="rId20" Type="http://schemas.openxmlformats.org/officeDocument/2006/relationships/hyperlink" Target="consultantplus://offline/ref=EFDA7DF67D32324D460BEA75CF4E44B527EE6EF133F9B2D3D4CBCE38653F608E28040E9070977CBEE18942EF0BF6P8J" TargetMode="External"/><Relationship Id="rId21" Type="http://schemas.openxmlformats.org/officeDocument/2006/relationships/hyperlink" Target="consultantplus://offline/ref=EFDA7DF67D32324D460BEA75CF4E44B527EE6EF133F9B2D3D4CBCE38653F608E3A04569C729065BFE29C14BE4D3E7FAC417424425093E39AF8P4J" TargetMode="External"/><Relationship Id="rId22" Type="http://schemas.openxmlformats.org/officeDocument/2006/relationships/hyperlink" Target="consultantplus://offline/ref=EFDA7DF67D32324D460BEA75CF4E44B527EE6EF133F9B2D3D4CBCE38653F608E3A04569C72926ABBE09C14BE4D3E7FAC417424425093E39AF8P4J" TargetMode="External"/><Relationship Id="rId23" Type="http://schemas.openxmlformats.org/officeDocument/2006/relationships/hyperlink" Target="consultantplus://offline/ref=EFDA7DF67D32324D460BEA75CF4E44B527EE6EF133F9B2D3D4CBCE38653F608E3A04569C72926ABBE49C14BE4D3E7FAC417424425093E39AF8P4J" TargetMode="External"/><Relationship Id="rId24" Type="http://schemas.openxmlformats.org/officeDocument/2006/relationships/hyperlink" Target="consultantplus://offline/ref=EFDA7DF67D32324D460BEA75CF4E44B527EE6EF133F9B2D3D4CBCE38653F608E3A04569C72926AB8E29C14BE4D3E7FAC417424425093E39AF8P4J" TargetMode="External"/><Relationship Id="rId25" Type="http://schemas.openxmlformats.org/officeDocument/2006/relationships/hyperlink" Target="consultantplus://offline/ref=EFDA7DF67D32324D460BEA75CF4E44B527EE6EF133F9B2D3D4CBCE38653F608E3A04569C729367B8E69C14BE4D3E7FAC417424425093E39AF8P4J" TargetMode="External"/><Relationship Id="rId26" Type="http://schemas.openxmlformats.org/officeDocument/2006/relationships/hyperlink" Target="consultantplus://offline/ref=EFDA7DF67D32324D460BEA75CF4E44B527EE6EF133F9B2D3D4CBCE38653F608E3A04569C729461BFE19C14BE4D3E7FAC417424425093E39AF8P4J" TargetMode="External"/><Relationship Id="rId27" Type="http://schemas.openxmlformats.org/officeDocument/2006/relationships/hyperlink" Target="consultantplus://offline/ref=EFDA7DF67D32324D460BEA75CF4E44B527EE6EF133F9B2D3D4CBCE38653F608E3A04569C729461BFEB9C14BE4D3E7FAC417424425093E39AF8P4J" TargetMode="External"/><Relationship Id="rId28" Type="http://schemas.openxmlformats.org/officeDocument/2006/relationships/hyperlink" Target="consultantplus://offline/ref=EFDA7DF67D32324D460BEA75CF4E44B527EE6EF133F9B2D3D4CBCE38653F608E3A04569C729461BDE09C14BE4D3E7FAC417424425093E39AF8P4J" TargetMode="External"/><Relationship Id="rId29" Type="http://schemas.openxmlformats.org/officeDocument/2006/relationships/hyperlink" Target="consultantplus://offline/ref=EFDA7DF67D32324D460BEA75CF4E44B527EE6EF133F9B2D3D4CBCE38653F608E3A04569C729461BDE49C14BE4D3E7FAC417424425093E39AF8P4J" TargetMode="External"/><Relationship Id="rId30" Type="http://schemas.openxmlformats.org/officeDocument/2006/relationships/hyperlink" Target="consultantplus://offline/ref=EFDA7DF67D32324D460BEA75CF4E44B527EE6EF133F9B2D3D4CBCE38653F608E3A04569C729461BAE09C14BE4D3E7FAC417424425093E39AF8P4J" TargetMode="External"/><Relationship Id="rId31" Type="http://schemas.openxmlformats.org/officeDocument/2006/relationships/hyperlink" Target="consultantplus://offline/ref=EFDA7DF67D32324D460BEA75CF4E44B527EE6EF133F9B2D3D4CBCE38653F608E3A04569C729466BCE39C14BE4D3E7FAC417424425093E39AF8P4J" TargetMode="External"/><Relationship Id="rId32" Type="http://schemas.openxmlformats.org/officeDocument/2006/relationships/hyperlink" Target="consultantplus://offline/ref=EFDA7DF67D32324D460BEA75CF4E44B527EE6EF133F9B2D3D4CBCE38653F608E3A04569C729466B7EB9C14BE4D3E7FAC417424425093E39AF8P4J" TargetMode="External"/><Relationship Id="rId33" Type="http://schemas.openxmlformats.org/officeDocument/2006/relationships/hyperlink" Target="consultantplus://offline/ref=EFDA7DF67D32324D460BEA75CF4E44B527EE6EF133F9B2D3D4CBCE38653F608E3A04569C729467BCEA9C14BE4D3E7FAC417424425093E39AF8P4J" TargetMode="External"/><Relationship Id="rId34" Type="http://schemas.openxmlformats.org/officeDocument/2006/relationships/hyperlink" Target="consultantplus://offline/ref=EFDA7DF67D32324D460BEA75CF4E44B527EE6EF133F9B2D3D4CBCE38653F608E3A04569C729561BDE09C14BE4D3E7FAC417424425093E39AF8P4J" TargetMode="External"/><Relationship Id="rId35" Type="http://schemas.openxmlformats.org/officeDocument/2006/relationships/hyperlink" Target="consultantplus://offline/ref=EFDA7DF67D32324D460BEA75CF4E44B527EE6EF133F9B2D3D4CBCE38653F608E3A04569C729561B8E69C14BE4D3E7FAC417424425093E39AF8P4J" TargetMode="External"/><Relationship Id="rId36" Type="http://schemas.openxmlformats.org/officeDocument/2006/relationships/hyperlink" Target="consultantplus://offline/ref=EFDA7DF67D32324D460BEA75CF4E44B527EE6EF133F9B2D3D4CBCE38653F608E3A04569C729564BDEA9C14BE4D3E7FAC417424425093E39AF8P4J" TargetMode="External"/><Relationship Id="rId37" Type="http://schemas.openxmlformats.org/officeDocument/2006/relationships/hyperlink" Target="consultantplus://offline/ref=EFDA7DF67D32324D460BEA75CF4E44B527EE6EF133F9B2D3D4CBCE38653F608E3A04569C729561B7E09C14BE4D3E7FAC417424425093E39AF8P4J" TargetMode="External"/><Relationship Id="rId38" Type="http://schemas.openxmlformats.org/officeDocument/2006/relationships/hyperlink" Target="consultantplus://offline/ref=EFDA7DF67D32324D460BEA75CF4E44B527EE6EF133F9B2D3D4CBCE38653F608E3A04569C729561B7E69C14BE4D3E7FAC417424425093E39AF8P4J" TargetMode="External"/><Relationship Id="rId39" Type="http://schemas.openxmlformats.org/officeDocument/2006/relationships/hyperlink" Target="consultantplus://offline/ref=EFDA7DF67D32324D460BEA75CF4E44B527EE6EF133F9B2D3D4CBCE38653F608E3A04569C729566B8E29C14BE4D3E7FAC417424425093E39AF8P4J" TargetMode="External"/><Relationship Id="rId40" Type="http://schemas.openxmlformats.org/officeDocument/2006/relationships/hyperlink" Target="consultantplus://offline/ref=EFDA7DF67D32324D460BEA75CF4E44B527EE6EF133F9B2D3D4CBCE38653F608E3A04569C729567BFE19C14BE4D3E7FAC417424425093E39AF8P4J" TargetMode="External"/><Relationship Id="rId41" Type="http://schemas.openxmlformats.org/officeDocument/2006/relationships/hyperlink" Target="consultantplus://offline/ref=EFDA7DF67D32324D460BEA75CF4E44B527EE6EF133F9B2D3D4CBCE38653F608E3A04569C729567BFE79C14BE4D3E7FAC417424425093E39AF8P4J" TargetMode="External"/><Relationship Id="rId42" Type="http://schemas.openxmlformats.org/officeDocument/2006/relationships/hyperlink" Target="consultantplus://offline/ref=EFDA7DF67D32324D460BEA75CF4E44B527EE6EF133F9B2D3D4CBCE38653F608E3A04569C729567BFE59C14BE4D3E7FAC417424425093E39AF8P4J" TargetMode="External"/><Relationship Id="rId43" Type="http://schemas.openxmlformats.org/officeDocument/2006/relationships/hyperlink" Target="consultantplus://offline/ref=EFDA7DF67D32324D460BEA75CF4E44B527EE6EF133F9B2D3D4CBCE38653F608E3A04569C729567BCE79C14BE4D3E7FAC417424425093E39AF8P4J" TargetMode="External"/><Relationship Id="rId44" Type="http://schemas.openxmlformats.org/officeDocument/2006/relationships/hyperlink" Target="consultantplus://offline/ref=EFDA7DF67D32324D460BEA75CF4E44B527EE6EF133F9B2D3D4CBCE38653F608E3A04569C729567BBE69C14BE4D3E7FAC417424425093E39AF8P4J" TargetMode="External"/><Relationship Id="rId45" Type="http://schemas.openxmlformats.org/officeDocument/2006/relationships/hyperlink" Target="consultantplus://offline/ref=EFDA7DF67D32324D460BEA75CF4E44B527EE6EF133F9B2D3D4CBCE38653F608E3A04569C72956AB8E09C14BE4D3E7FAC417424425093E39AF8P4J" TargetMode="External"/><Relationship Id="rId46" Type="http://schemas.openxmlformats.org/officeDocument/2006/relationships/hyperlink" Target="consultantplus://offline/ref=EFDA7DF67D32324D460BEA75CF4E44B527EE6EF133F9B2D3D4CBCE38653F608E3A04569C729563B8E49C14BE4D3E7FAC417424425093E39AF8P4J" TargetMode="External"/><Relationship Id="rId47" Type="http://schemas.openxmlformats.org/officeDocument/2006/relationships/hyperlink" Target="consultantplus://offline/ref=EFDA7DF67D32324D460BEA75CF4E44B527EE6EF133F9B2D3D4CBCE38653F608E3A04569C729562BAE29C14BE4D3E7FAC417424425093E39AF8P4J" TargetMode="External"/><Relationship Id="rId48" Type="http://schemas.openxmlformats.org/officeDocument/2006/relationships/hyperlink" Target="https://xn--l1agf.xn--p1ai/" TargetMode="External"/><Relationship Id="rId49" Type="http://schemas.openxmlformats.org/officeDocument/2006/relationships/hyperlink" Target="https://login.consultant.ru/link/?req=doc&amp;base=LAW&amp;n=472841&amp;date=06.06.2024&amp;dst=5769&amp;field=134" TargetMode="External"/><Relationship Id="rId50" Type="http://schemas.openxmlformats.org/officeDocument/2006/relationships/hyperlink" Target="consultantplus://offline/ref=EFDA7DF67D32324D460BEA75CF4E44B527EE66FE33F5B2D3D4CBCE38653F608E28040E9070977CBEE18942EF0BF6P8J" TargetMode="External"/><Relationship Id="rId51" Type="http://schemas.openxmlformats.org/officeDocument/2006/relationships/hyperlink" Target="https://login.consultant.ru/link/?req=doc&amp;base=LAW&amp;n=121087&amp;dst=100142" TargetMode="External"/><Relationship Id="rId52" Type="http://schemas.openxmlformats.org/officeDocument/2006/relationships/hyperlink" Target="https://login.consultant.ru/link/?req=doc&amp;base=LAW&amp;n=45291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Администрация Липецкой области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myravyeva</dc:creator>
  <cp:revision>25</cp:revision>
  <dcterms:created xsi:type="dcterms:W3CDTF">2023-11-14T05:57:00Z</dcterms:created>
  <dcterms:modified xsi:type="dcterms:W3CDTF">2024-09-17T06:47:49Z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2022-07-07T00:00:00Z</vt:filetime>
  </property>
</Properties>
</file>