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9977" w:type="dxa"/>
        <w:tblBorders/>
        <w:tblLayout w:type="fixed"/>
        <w:tblLook w:val="04A0" w:firstRow="1" w:lastRow="0" w:firstColumn="1" w:lastColumn="0" w:noHBand="0" w:noVBand="1"/>
      </w:tblPr>
      <w:tblGrid>
        <w:gridCol w:w="4530"/>
        <w:gridCol w:w="5447"/>
      </w:tblGrid>
      <w:tr>
        <w:trPr>
          <w:trHeight w:val="1984"/>
        </w:trPr>
        <w:tc>
          <w:tcPr>
            <w:tcBorders/>
            <w:tcW w:w="4530" w:type="dxa"/>
            <w:textDirection w:val="lrTb"/>
            <w:noWrap w:val="false"/>
          </w:tcPr>
          <w:p>
            <w:pPr>
              <w:pBdr/>
              <w:tabs>
                <w:tab w:val="left" w:leader="none" w:pos="6804"/>
              </w:tabs>
              <w:spacing w:after="0"/>
              <w:ind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544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6"/>
                <w:szCs w:val="26"/>
                <w:highlight w:val="white"/>
                <w:shd w:val="clear" w:color="auto" w:fill="ffffff"/>
                <w:lang w:eastAsia="ru-RU"/>
              </w:rPr>
              <w:t xml:space="preserve">                                                      Приложение</w:t>
            </w:r>
            <w:r>
              <w:rPr>
                <w:rFonts w:ascii="Times New Roman" w:hAnsi="Times New Roman" w:eastAsia="Times New Roman" w:cs="Times New Roman"/>
                <w:spacing w:val="2"/>
                <w:sz w:val="26"/>
                <w:szCs w:val="26"/>
                <w:highlight w:val="white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pacing w:val="2"/>
                <w:sz w:val="26"/>
                <w:szCs w:val="26"/>
                <w:highlight w:val="white"/>
                <w:shd w:val="clear" w:color="auto" w:fill="ffffff"/>
                <w:lang w:eastAsia="ru-RU"/>
              </w:rPr>
              <w:t xml:space="preserve">к приказу управления экономического развития Липецкой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«Об утверждении Порядка предоставления грантов «Легкий старт» в форме субсидий на финансовое обеспечение затрат 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ачинающих субъектов малого предпринимательства (за исключением производственных кооперативов, потребительских кооперативов и крестьянских (фермерских) хозяйств), связанных с организацией собственного дела по одному из приоритетных направлений деятельности»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</w:tr>
    </w:tbl>
    <w:p>
      <w:pPr>
        <w:pBdr/>
        <w:spacing w:after="0" w:line="283" w:lineRule="atLeast"/>
        <w:ind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after="0" w:line="283" w:lineRule="atLeast"/>
        <w:ind/>
        <w:jc w:val="center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ar-SA"/>
        </w:rPr>
        <w:t xml:space="preserve">Порядок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834" w:left="-125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предоставления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грантов «Легкий старт» в форме субсидий на финансовое обеспечение затрат 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ачинающих субъектов малого предпринимательства (за исключением производственных кооперативов, потребительских кооперативов и крестьянских (фермерских) хозяйств), связанных с организацией собственного дела по одному из приоритетных направлений деятельности.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after="0" w:line="240" w:lineRule="auto"/>
        <w:ind w:firstLine="834" w:left="-125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1.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Настоящий Порядок определяет механизм предоставления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грантов «Легкий старт» в форме субсидий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на финансовое обеспечение затрат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начинающих субъектов малого предпринимательства (за исключением производственных кооперативов, потребительских кооперативов и крестьянских (фермерских) хозяйств), связанных с организацией собственного дела по одному из приоритетных направлений деятельности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(далее - гранты)</w:t>
      </w:r>
      <w:r>
        <w:rPr>
          <w:rFonts w:ascii="Times New Roman" w:hAnsi="Times New Roman" w:eastAsia="Times New Roman" w:cs="Times New Roman"/>
          <w:i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из бюджета Липецкой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области и проведения отбора получателей указанных грантов в пределах средств, предусмотренных в законе Липецкой области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об областном бюджете на соответствующий финансовый год и плановый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период (далее - Закон об областном бюджете).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709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Целью предоставления гранта является финансовое обеспечение затрат начинающих субъектов малого предпринимательства (за исключением производственных кооперативов, потребительских кооперативов и крестьянских (фермерских) хозяйств), связанных с организацией с</w:t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обственного дела по одному из приоритетных направлений деятельности.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709"/>
        <w:contextualSpacing w:val="true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Грант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предоставляется в соответствии с </w:t>
      </w:r>
      <w:hyperlink r:id="rId9" w:tooltip="https://login.consultant.ru/link/?req=doc&amp;base=RLAW220&amp;n=134102&amp;dst=101561" w:history="1">
        <w:r>
          <w:rPr>
            <w:rFonts w:ascii="Times New Roman" w:hAnsi="Times New Roman" w:eastAsia="Times New Roman" w:cs="Times New Roman"/>
            <w:sz w:val="26"/>
            <w:szCs w:val="26"/>
            <w:highlight w:val="white"/>
          </w:rPr>
          <w:t xml:space="preserve">Паспортом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к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омплекса процессных мероприятий «Создание условий для повышения конкурентоспособности субъектов МСП региона» государственной программы Липецкой области «Развитие малого и средне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го предпринимательства Липецкой области», утвержденной постановлением Правительства Липецкой области от 21 декабря 2023 года № 744 «Об утверждении государственной программы Липецкой области «Развитие малого и среднего предпринимательства Липецкой области».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709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2. </w:t>
      </w:r>
      <w:r>
        <w:rPr>
          <w:rFonts w:ascii="Times New Roman" w:hAnsi="Times New Roman" w:cs="Times New Roman" w:eastAsiaTheme="minorEastAsia"/>
          <w:sz w:val="26"/>
          <w:szCs w:val="26"/>
          <w:highlight w:val="white"/>
        </w:rPr>
        <w:t xml:space="preserve">Гранты предоставляются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управлением экономического развития Липецкой области, осуществляющим функции главного распорядителя бюджетных средств, до которого в соответствии с бюджетным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(соответствующий финансовый год и плановый период) (далее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управление), в соответствии с Законом об областном бюджете.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709"/>
        <w:contextualSpacing w:val="true"/>
        <w:jc w:val="both"/>
        <w:rPr>
          <w:rFonts w:ascii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3. </w:t>
      </w:r>
      <w:r>
        <w:rPr>
          <w:rFonts w:ascii="Times New Roman" w:hAnsi="Times New Roman" w:cs="Times New Roman" w:eastAsiaTheme="minorEastAsia"/>
          <w:sz w:val="26"/>
          <w:szCs w:val="26"/>
          <w:highlight w:val="white"/>
        </w:rPr>
        <w:t xml:space="preserve">Гранты предоставляются на финансовое обеспечение затрат</w:t>
      </w:r>
      <w:r>
        <w:rPr>
          <w:rFonts w:ascii="Times New Roman" w:hAnsi="Times New Roman" w:cs="Times New Roman" w:eastAsiaTheme="minorEastAsia"/>
          <w:sz w:val="26"/>
          <w:szCs w:val="26"/>
          <w:highlight w:val="white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  <w:highlight w:val="white"/>
        </w:rPr>
      </w:r>
      <w:r>
        <w:rPr>
          <w:rFonts w:ascii="Times New Roman" w:hAnsi="Times New Roman" w:cs="Times New Roman"/>
          <w:i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709"/>
        <w:contextualSpacing w:val="true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 Информация о гранте размещается на едином портале бюджетной системы Российской Федерации </w:t>
      </w:r>
      <w:hyperlink r:id="rId10" w:tooltip="http://budget.gov.ru/" w:history="1">
        <w:r>
          <w:rPr>
            <w:rFonts w:ascii="Times New Roman" w:hAnsi="Times New Roman" w:eastAsia="Times New Roman" w:cs="Times New Roman"/>
            <w:sz w:val="26"/>
            <w:szCs w:val="26"/>
            <w:highlight w:val="white"/>
          </w:rPr>
          <w:t xml:space="preserve">http://budget.gov.ru/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в информационно-телекоммуникационной сети «Интернет», (далее – единый портал) (в разделе единого портала), а также 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  <w:t xml:space="preserve">на официальном сайте управления </w:t>
      </w:r>
      <w:hyperlink r:id="rId11" w:tooltip="https://экономика.липецкаяобласть.рф/" w:history="1">
        <w:r>
          <w:rPr>
            <w:rFonts w:ascii="Times New Roman" w:hAnsi="Times New Roman" w:eastAsia="Times New Roman" w:cs="Times New Roman"/>
            <w:bCs/>
            <w:sz w:val="26"/>
            <w:szCs w:val="26"/>
            <w:highlight w:val="white"/>
          </w:rPr>
          <w:t xml:space="preserve">https://экономика.липецкаяобласть.рф/</w:t>
        </w:r>
      </w:hyperlink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  <w:t xml:space="preserve"> в информационно-телекоммуникационной сети «Интернет» (далее – сайт управления).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709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5. Гранты предоставляются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субъектам малого предпринимательства, не осуществлявшим предпринимательскую деятельность в качестве индивидуальных предпринимателей или юридических лиц в течение последних 3 лет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(далее -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t xml:space="preserve">претендент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iCs/>
          <w:sz w:val="26"/>
          <w:szCs w:val="26"/>
          <w:highlight w:val="white"/>
          <w:lang w:eastAsia="ar-SA"/>
        </w:rPr>
        <w:t xml:space="preserve">, отвечающим условиям и </w:t>
      </w:r>
      <w:r>
        <w:rPr>
          <w:rFonts w:ascii="Times New Roman" w:hAnsi="Times New Roman" w:eastAsia="Times New Roman" w:cs="Times New Roman"/>
          <w:iCs/>
          <w:sz w:val="26"/>
          <w:szCs w:val="26"/>
          <w:highlight w:val="white"/>
          <w:lang w:eastAsia="ar-SA"/>
        </w:rPr>
        <w:t xml:space="preserve">требованиям</w:t>
      </w:r>
      <w:r>
        <w:rPr>
          <w:rFonts w:ascii="Times New Roman" w:hAnsi="Times New Roman" w:eastAsia="Times New Roman" w:cs="Times New Roman"/>
          <w:iCs/>
          <w:sz w:val="26"/>
          <w:szCs w:val="26"/>
          <w:highlight w:val="white"/>
          <w:lang w:eastAsia="ar-SA"/>
        </w:rPr>
        <w:t xml:space="preserve"> установленным настоящим порядком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и прошедшим отбор.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709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Отбор осуществляется управлением путем проведения конкурса (далее - конкурс) на основании заявок, направленных претендентами для участия в конкурсе получателей грантов (далее - заявка), исходя из наилучших условий достижения результатов, в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целях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достижения которых предоставляются гранты.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709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6. Проведение конкурса обеспечивается с использованием 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айта управления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и через Цифровую платформу МСП (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https://мсп.рф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) (далее - ЦП МСП).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highlight w:val="white"/>
        </w:rPr>
      </w:r>
      <w:bookmarkStart w:id="0" w:name="Пункт7требования"/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7</w:t>
      </w:r>
      <w:bookmarkEnd w:id="0"/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 Претендент должен соответствовать следующим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t xml:space="preserve">требованиям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: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1) на дату подачи заявки: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2" w:tooltip="consultantplus://offline/ref=01DB43AF7C0C72892532F5DFF29490888E1A575DFD2119A6E9B179B3EE2DB76696F7F3C43954F41784B6F9CE1653D7C8B962B19EEE3B1524BCxEI" w:history="1">
        <w:r>
          <w:rPr>
            <w:rFonts w:ascii="Times New Roman" w:hAnsi="Times New Roman" w:eastAsia="Times New Roman" w:cs="Times New Roman"/>
            <w:sz w:val="26"/>
            <w:szCs w:val="26"/>
            <w:highlight w:val="whit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государств и территорий, используемых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совокупности превышает 25 процентов (если иное не предусмотрено законодательством Российской Федерации).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акционерных обществ;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  не находится в составляемых в рамках реализации полномочий, предусмотренных </w:t>
      </w:r>
      <w:hyperlink r:id="rId13" w:tooltip="consultantplus://offline/ref=01DB43AF7C0C72892532F5DFF29490888B1A565FF62619A6E9B179B3EE2DB76696F7F3C43954F51286B6F9CE1653D7C8B962B19EEE3B1524BCxEI" w:history="1">
        <w:r>
          <w:rPr>
            <w:rFonts w:ascii="Times New Roman" w:hAnsi="Times New Roman" w:eastAsia="Times New Roman" w:cs="Times New Roman"/>
            <w:sz w:val="26"/>
            <w:szCs w:val="26"/>
            <w:highlight w:val="white"/>
          </w:rPr>
          <w:t xml:space="preserve">главой VII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Ус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 не получает средства из областного бюджета на основании иных нормативных правовых актов на цели, установленные пунктом 1 настоящего Порядка;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after="0" w:line="240" w:lineRule="auto"/>
        <w:ind w:firstLine="539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 не является иностранным агентом в соответствии с Федеральным </w:t>
      </w:r>
      <w:hyperlink r:id="rId14" w:tooltip="consultantplus://offline/ref=01DB43AF7C0C72892532F5DFF29490888E1D5556FF2219A6E9B179B3EE2DB76684F7ABC83B5DEA1785A3AF9F50B0x5I" w:history="1">
        <w:r>
          <w:rPr>
            <w:rFonts w:ascii="Times New Roman" w:hAnsi="Times New Roman" w:eastAsia="Times New Roman" w:cs="Times New Roman"/>
            <w:sz w:val="26"/>
            <w:szCs w:val="26"/>
            <w:highlight w:val="whit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от 14 июля 2022 года 255 – ФЗ «О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контроле за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деятельностью лиц, находящихся под иностранным влиянием»;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after="0" w:line="240" w:lineRule="auto"/>
        <w:ind w:firstLine="539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у претендента отсутствует просроченная задолженность по возврату в областной бюджет Липецкой области иных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after="0" w:line="240" w:lineRule="auto"/>
        <w:ind w:firstLine="539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 не находится в процессе реорганизации (за исключением реорганизации в форме присоединения к юридическому лицу, являющемуся получателем гранта, другого юридического лица), ликвидации, в отношении его не введена процедура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банкротства, деятельность получателя гранта не приостановлена в порядке, предусмотренном законодательством Российской Федерации, а претендент, являющийся индивидуальным предпринимателем, не прекратил деятельность в качестве индивидуального предпринимателя;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after="0" w:line="240" w:lineRule="auto"/>
        <w:ind w:firstLine="539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highlight w:val="white"/>
        </w:rPr>
      </w:r>
      <w:bookmarkStart w:id="1" w:name="P92"/>
      <w:r>
        <w:rPr>
          <w:highlight w:val="white"/>
        </w:rPr>
      </w:r>
      <w:bookmarkEnd w:id="1"/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функции единоличного исполнительного органа, или главном бухгалтере (при наличии) получателя гранта, являющегося юридическим лицом, об индивидуальном предпринимателе и о физическом лице - производителе товаров, работ, услуг, являющихся получателями гранта;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2) на дату формирования справки, но не ранее даты подачи заявки, у претендента на едином налоговом счете отсутствует или не превышает размер, определен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ный </w:t>
      </w:r>
      <w:hyperlink r:id="rId15" w:tooltip="https://login.consultant.ru/link/?req=doc&amp;base=LAW&amp;n=472841&amp;date=06.06.2024&amp;dst=5769&amp;field=134" w:history="1">
        <w:r>
          <w:rPr>
            <w:rFonts w:ascii="Times New Roman" w:hAnsi="Times New Roman" w:eastAsia="Times New Roman" w:cs="Times New Roman"/>
            <w:color w:val="000000" w:themeColor="text1"/>
            <w:sz w:val="26"/>
            <w:szCs w:val="26"/>
            <w:highlight w:val="white"/>
          </w:rPr>
          <w:t xml:space="preserve">пунктом 3 статьи 47</w:t>
        </w:r>
      </w:hyperlink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</w:t>
      </w:r>
      <w:hyperlink r:id="rId16" w:tooltip="https://login.consultant.ru/link/?req=doc&amp;base=LAW&amp;n=472841&amp;date=06.06.2024&amp;dst=5769&amp;field=134" w:history="1">
        <w:r>
          <w:rPr>
            <w:rFonts w:ascii="Times New Roman" w:hAnsi="Times New Roman" w:eastAsia="Times New Roman" w:cs="Times New Roman"/>
            <w:color w:val="000000" w:themeColor="text1"/>
            <w:sz w:val="26"/>
            <w:szCs w:val="26"/>
            <w:highlight w:val="white"/>
          </w:rPr>
          <w:t xml:space="preserve">пунктом 3 статьи 4</w:t>
        </w:r>
      </w:hyperlink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Налогового к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highlight w:val="white"/>
        </w:rPr>
      </w:r>
      <w:bookmarkStart w:id="2" w:name="Пункт8условия"/>
      <w:r>
        <w:rPr>
          <w:highlight w:val="white"/>
        </w:rPr>
      </w:r>
      <w:bookmarkStart w:id="3" w:name="Пункт11документы"/>
      <w:r>
        <w:rPr>
          <w:rFonts w:ascii="Times New Roman" w:hAnsi="Times New Roman" w:cs="Times New Roman" w:eastAsiaTheme="minorEastAsia"/>
          <w:sz w:val="26"/>
          <w:szCs w:val="26"/>
          <w:highlight w:val="white"/>
        </w:rPr>
        <w:t xml:space="preserve">8.</w:t>
      </w:r>
      <w:bookmarkEnd w:id="2"/>
      <w:r>
        <w:rPr>
          <w:highlight w:val="white"/>
        </w:rPr>
      </w:r>
      <w:bookmarkEnd w:id="3"/>
      <w:r>
        <w:rPr>
          <w:rFonts w:ascii="Times New Roman" w:hAnsi="Times New Roman" w:cs="Times New Roman" w:eastAsiaTheme="minorEastAsia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 должен соответствовать следующим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t xml:space="preserve">условиям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на дату подачи заявки: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 не является или ранее не являлся получателем средств финансовой поддержки на организацию начального этапа предпринимательской деятельности;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 осуществляет государственную регистрацию в качестве субъекта малого предпринимательства после прохождения конкурсного отбора;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 обязуется соответствовать критериям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микропредприятия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установленным Федеральным </w:t>
      </w:r>
      <w:hyperlink r:id="rId17" w:tooltip="consultantplus://offline/ref=EFDA7DF67D32324D460BEA75CF4E44B527EE66FE33F5B2D3D4CBCE38653F608E28040E9070977CBEE18942EF0BF6P8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от 24 июля 2007 года № 209-ФЗ «О развитии малого и среднего предпринимательства в Российской Федерации»;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наличие у претендента проекта (бизнес-плана) создания и развития собственного дела (далее – проекта);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наличие у претендента плана расходов гранта с указанием затрат;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 обязуется оплачивать за счет собственных средств не менее 10 процентов от размера предоставленного гранта;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 обязуется использовать грант в течение 12 месяцев со дня поступления гранта на его расчетный счет;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 обязуется создать не менее 1 нового рабочего места (на полную ставку) в течение 12 месяцев со дня поступления гранта на его расчетный счет;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 обязуется осуществлять деятельность и сохранять созданное рабочее место в течение не менее двух лет со дня поступления гранта на его расчетный счет;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 должен обеспечить ведение обособленного аналитического учета операций, осуществляемых за счет гранта;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претендент обязуется предоставлять отчетность об использовании сре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дств гр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ант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а,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достигнуть значение результата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в порядке и по формам, утвержденным в соглашении о предоставлении гранта;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 обязуется обеспечить ведение раздельного учета доходов и расходов сре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дств гр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анта в соответствии с действующим законодательством и доступ к данной информации;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line="240" w:lineRule="auto"/>
        <w:ind w:firstLine="540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white"/>
        </w:rPr>
        <w:t xml:space="preserve">отсутствие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у претендента задолженности по заработной плате;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cs="Times New Roman"/>
          <w:strike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претендент, 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вляющийся участником специальной военной операции (далее – участник СВО), обязуется зарегистрироваться и осуществлять деятельность на территории Липецкой области по одному из приоритетных направлений деятельности в соответствии с разделами Общероссийского </w:t>
      </w:r>
      <w:hyperlink r:id="rId18" w:tooltip="consultantplus://offline/ref=EFDA7DF67D32324D460BEA75CF4E44B527EE6EF133F9B2D3D4CBCE38653F608E28040E9070977CBEE18942EF0BF6P8J" w:history="1">
        <w:r>
          <w:rPr>
            <w:rFonts w:ascii="Times New Roman" w:hAnsi="Times New Roman" w:eastAsia="Times New Roman" w:cs="Times New Roman"/>
            <w:sz w:val="26"/>
            <w:szCs w:val="26"/>
            <w:highlight w:val="white"/>
          </w:rPr>
          <w:t xml:space="preserve">классификатора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видов экономической деятельности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ОК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029-2014 (КДЕС Ред. 2), утвержденного приказом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Росстандарта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от 31 января 2014 года № 14-ст «О пр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2008)», за исключением </w:t>
      </w:r>
      <w:hyperlink r:id="rId19" w:tooltip="https://login.consultant.ru/link/?req=doc&amp;base=LAW&amp;n=468900&amp;dst=100133" w:history="1">
        <w:r>
          <w:rPr>
            <w:rFonts w:ascii="Times New Roman" w:hAnsi="Times New Roman" w:eastAsia="Times New Roman" w:cs="Times New Roman"/>
            <w:sz w:val="26"/>
            <w:szCs w:val="26"/>
            <w:highlight w:val="white"/>
          </w:rPr>
          <w:t xml:space="preserve">разделов</w:t>
        </w:r>
        <w:r>
          <w:rPr>
            <w:rFonts w:ascii="Times New Roman" w:hAnsi="Times New Roman" w:eastAsia="Times New Roman" w:cs="Times New Roman"/>
            <w:sz w:val="26"/>
            <w:szCs w:val="26"/>
            <w:highlight w:val="white"/>
          </w:rPr>
          <w:t xml:space="preserve"> А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«Сельское, лесное хозяйство, охота, рыболовство и рыбоводство», </w:t>
      </w:r>
      <w:hyperlink r:id="rId20" w:tooltip="https://login.consultant.ru/link/?req=doc&amp;base=LAW&amp;n=468900&amp;dst=103016" w:history="1">
        <w:r>
          <w:rPr>
            <w:rFonts w:ascii="Times New Roman" w:hAnsi="Times New Roman" w:eastAsia="Times New Roman" w:cs="Times New Roman"/>
            <w:sz w:val="26"/>
            <w:szCs w:val="26"/>
            <w:highlight w:val="white"/>
          </w:rPr>
          <w:t xml:space="preserve">G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«Торговля оптовая и розничная; ремонт автотранспортных средств и мотоциклов»; </w:t>
      </w:r>
      <w:r>
        <w:rPr>
          <w:rFonts w:ascii="Times New Roman" w:hAnsi="Times New Roman" w:cs="Times New Roman"/>
          <w:strike/>
          <w:sz w:val="26"/>
          <w:szCs w:val="26"/>
          <w:highlight w:val="white"/>
        </w:rPr>
      </w:r>
      <w:r>
        <w:rPr>
          <w:rFonts w:ascii="Times New Roman" w:hAnsi="Times New Roman" w:cs="Times New Roman"/>
          <w:strike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претендент обязуется зарегистрироваться и осуществлять деятельность на территории Липецкой области по приоритетным направлениям деятельности в соответствии с разделами Общероссийского </w:t>
      </w:r>
      <w:hyperlink r:id="rId21" w:tooltip="consultantplus://offline/ref=EFDA7DF67D32324D460BEA75CF4E44B527EE6EF133F9B2D3D4CBCE38653F608E28040E9070977CBEE18942EF0BF6P8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классификатора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видов экономической деятельности ОК 029-2014 (КДЕС Ред. 2), утвержденного приказом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Росстандарта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от 31 января 2014 года № 14-ст «О принятии и введении в действие Общероссийского классификатора видов экономической деятельности (ОКВЭД2) ОК 029-2014 (КДЕС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Р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ед. 2) и Общероссийского классификатора продукции по видам экономической деятельности (ОКПД2)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ОК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034-2014 (КПЕС 2008)»: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- </w:t>
      </w:r>
      <w:hyperlink r:id="rId22" w:tooltip="consultantplus://offline/ref=EFDA7DF67D32324D460BEA75CF4E44B527EE6EF133F9B2D3D4CBCE38653F608E3A04569C729065BFE2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раздел</w:t>
        </w:r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 С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«Обрабатывающие производства» - за исключением производства подакцизных товаров;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- раздел Е «Водоснабжение; водоотведение, организация сбора и утилизации отходов, деятельность по ликвидации загрязнений» - за исключением кодов </w:t>
      </w:r>
      <w:hyperlink r:id="rId23" w:tooltip="consultantplus://offline/ref=EFDA7DF67D32324D460BEA75CF4E44B527EE6EF133F9B2D3D4CBCE38653F608E3A04569C72926ABBE0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38.32.11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</w:t>
      </w:r>
      <w:hyperlink r:id="rId24" w:tooltip="consultantplus://offline/ref=EFDA7DF67D32324D460BEA75CF4E44B527EE6EF133F9B2D3D4CBCE38653F608E3A04569C72926ABBE4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38.32.2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- </w:t>
      </w:r>
      <w:hyperlink r:id="rId25" w:tooltip="consultantplus://offline/ref=EFDA7DF67D32324D460BEA75CF4E44B527EE6EF133F9B2D3D4CBCE38653F608E3A04569C72926AB8E2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38.32.4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- раздел G «Торговля оптовая и розничная; ремонт автотранспортных средств и мотоциклов» - код </w:t>
      </w:r>
      <w:hyperlink r:id="rId26" w:tooltip="consultantplus://offline/ref=EFDA7DF67D32324D460BEA75CF4E44B527EE6EF133F9B2D3D4CBCE38653F608E3A04569C729367B8E6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47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- в части деятельности, осуществляемой в населенных пунктах с численностью населения менее 200 человек;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- раздел I «Деятельность гостиниц и предприятий общественного питания» - коды </w:t>
      </w:r>
      <w:hyperlink r:id="rId27" w:tooltip="consultantplus://offline/ref=EFDA7DF67D32324D460BEA75CF4E44B527EE6EF133F9B2D3D4CBCE38653F608E3A04569C729461BFE1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55.10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</w:t>
      </w:r>
      <w:hyperlink r:id="rId28" w:tooltip="consultantplus://offline/ref=EFDA7DF67D32324D460BEA75CF4E44B527EE6EF133F9B2D3D4CBCE38653F608E3A04569C729461BFEB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55.3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</w:t>
      </w:r>
      <w:hyperlink r:id="rId29" w:tooltip="consultantplus://offline/ref=EFDA7DF67D32324D460BEA75CF4E44B527EE6EF133F9B2D3D4CBCE38653F608E3A04569C729461BDE0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56.10.1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</w:t>
      </w:r>
      <w:hyperlink r:id="rId30" w:tooltip="consultantplus://offline/ref=EFDA7DF67D32324D460BEA75CF4E44B527EE6EF133F9B2D3D4CBCE38653F608E3A04569C729461BDE4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56.10.21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- </w:t>
      </w:r>
      <w:hyperlink r:id="rId31" w:tooltip="consultantplus://offline/ref=EFDA7DF67D32324D460BEA75CF4E44B527EE6EF133F9B2D3D4CBCE38653F608E3A04569C729461BAE0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56.10.24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- раздел J «Деятельность в области информации и связи» - коды </w:t>
      </w:r>
      <w:hyperlink r:id="rId32" w:tooltip="consultantplus://offline/ref=EFDA7DF67D32324D460BEA75CF4E44B527EE6EF133F9B2D3D4CBCE38653F608E3A04569C729466BCE3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59.14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</w:t>
      </w:r>
      <w:hyperlink r:id="rId33" w:tooltip="consultantplus://offline/ref=EFDA7DF67D32324D460BEA75CF4E44B527EE6EF133F9B2D3D4CBCE38653F608E3A04569C729466B7EB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62.01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</w:t>
      </w:r>
      <w:hyperlink r:id="rId34" w:tooltip="consultantplus://offline/ref=EFDA7DF67D32324D460BEA75CF4E44B527EE6EF133F9B2D3D4CBCE38653F608E3A04569C729467BCEA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63.1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- раздел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«Образование» - коды </w:t>
      </w:r>
      <w:hyperlink r:id="rId35" w:tooltip="consultantplus://offline/ref=EFDA7DF67D32324D460BEA75CF4E44B527EE6EF133F9B2D3D4CBCE38653F608E3A04569C729561BDE0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85.11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</w:t>
      </w:r>
      <w:hyperlink r:id="rId36" w:tooltip="consultantplus://offline/ref=EFDA7DF67D32324D460BEA75CF4E44B527EE6EF133F9B2D3D4CBCE38653F608E3A04569C729561B8E6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85.41.2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</w:t>
      </w:r>
      <w:hyperlink r:id="rId37" w:tooltip="consultantplus://offline/ref=EFDA7DF67D32324D460BEA75CF4E44B527EE6EF133F9B2D3D4CBCE38653F608E3A04569C729564BDEA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85.41.9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- раздел Q «Деятельность в области здравоохранения и социальных услуг» - за исключением кода </w:t>
      </w:r>
      <w:hyperlink r:id="rId38" w:tooltip="consultantplus://offline/ref=EFDA7DF67D32324D460BEA75CF4E44B527EE6EF133F9B2D3D4CBCE38653F608E3A04569C729561B7E0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86.23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; </w:t>
      </w:r>
      <w:hyperlink r:id="rId39" w:tooltip="consultantplus://offline/ref=EFDA7DF67D32324D460BEA75CF4E44B527EE6EF133F9B2D3D4CBCE38653F608E3A04569C729561B7E6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86.9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- раздел R «Деятельность в области культуры, спорта, организации досуга и развлечений» - коды </w:t>
      </w:r>
      <w:hyperlink r:id="rId40" w:tooltip="consultantplus://offline/ref=EFDA7DF67D32324D460BEA75CF4E44B527EE6EF133F9B2D3D4CBCE38653F608E3A04569C729566B8E2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90.04.3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</w:t>
      </w:r>
      <w:hyperlink r:id="rId41" w:tooltip="consultantplus://offline/ref=EFDA7DF67D32324D460BEA75CF4E44B527EE6EF133F9B2D3D4CBCE38653F608E3A04569C729567BFE1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93.11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за исключением деятельности псарен, </w:t>
      </w:r>
      <w:hyperlink r:id="rId42" w:tooltip="consultantplus://offline/ref=EFDA7DF67D32324D460BEA75CF4E44B527EE6EF133F9B2D3D4CBCE38653F608E3A04569C729567BFE7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93.12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</w:t>
      </w:r>
      <w:hyperlink r:id="rId43" w:tooltip="consultantplus://offline/ref=EFDA7DF67D32324D460BEA75CF4E44B527EE6EF133F9B2D3D4CBCE38653F608E3A04569C729567BFE5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93.13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</w:t>
      </w:r>
      <w:hyperlink r:id="rId44" w:tooltip="consultantplus://offline/ref=EFDA7DF67D32324D460BEA75CF4E44B527EE6EF133F9B2D3D4CBCE38653F608E3A04569C729567BCE7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93.29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(в части мероприятий событийного туризма, деятельности по прокату оборудования для досуга и отдыха как неотъемлемой части развлекательного сооружения, деятельности зрелищно-развлекательной прочей);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- раздел S «Предоставление прочих видов услуг» - коды </w:t>
      </w:r>
      <w:hyperlink r:id="rId45" w:tooltip="consultantplus://offline/ref=EFDA7DF67D32324D460BEA75CF4E44B527EE6EF133F9B2D3D4CBCE38653F608E3A04569C729567BBE6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95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</w:t>
      </w:r>
      <w:hyperlink r:id="rId46" w:tooltip="consultantplus://offline/ref=EFDA7DF67D32324D460BEA75CF4E44B527EE6EF133F9B2D3D4CBCE38653F608E3A04569C72956AB8E0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96.01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- раздел N «Деятельность административная и сопутствующие дополнительные услуги» - код </w:t>
      </w:r>
      <w:hyperlink r:id="rId47" w:tooltip="consultantplus://offline/ref=EFDA7DF67D32324D460BEA75CF4E44B527EE6EF133F9B2D3D4CBCE38653F608E3A04569C729563B8E4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81.2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</w:t>
      </w:r>
      <w:hyperlink r:id="rId48" w:tooltip="consultantplus://offline/ref=EFDA7DF67D32324D460BEA75CF4E44B527EE6EF133F9B2D3D4CBCE38653F608E3A04569C729562BAE29C14BE4D3E7FAC417424425093E39AF8P4J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77.21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white"/>
        </w:rPr>
        <w:t xml:space="preserve">9.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t xml:space="preserve">Расходование гранта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осуществляется по безналичному расчету. Гранты предоставляются и могут быть использованы только на финансовое обеспечение затрат, предусматривающих расходы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приобретение земельных участков для осуществления предпринимательской деятельности в рамках реализации проекта «Легкий старт»;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разработку проектной документации для строительства и (или) реконструкции производственных и складских зданий, предназначенных для осуществления предпринимательской деятельности в рамках реализации проекта «Легкий старт»;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разработку проектной документации для строительства и (или) реконструкции помещений, предназначенных для осуществления предпринимательской деятельности в рамках реализации проекта «Легкий старт»;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разработку проектной документации для строительства и (или) реконструкции сооружений, предназначенных для осуществления предпринимательской деятельности в рамках реализации проекта «Легкий старт»;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приобретение, строительство, ремонт и переустройство, аренду (не более 3 месяцев) производственных и складских зданий, необходимых для осуществления предпринимательской деятельности в рамках реализации проекта «Легкий старт»;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приобретение, строительство, ремонт и переустройство, аренду (не более 3 месяцев) помещений, необходимых для осуществления предпринимательской деятельности в рамках реализации проекта «Легкий старт»;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приобретение, строительство, ремонт и переустройство, аренду (не более 3 месяцев) сооружений, необходимых для осуществления предпринимательской деятельности в рамках реализации проекта «Легкий старт»;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подключение производственных и складских зданий, необходимых для осуществления предпринимательской деятельности в рамках реализации проекта «Легкий старт», к электрическим, вод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о-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газо- и теплопроводным сетям;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подключение помещений, необходимых для осуществления предпринимательской деятельности в рамках реализации проекта «Легкий старт», к электрическим, вод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о-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газо- и теплопроводным сетям;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подключение сооружений, необходимых для осуществления предпринимательской деятельности в рамках реализации проекта «Легкий старт», к электрическим, вод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о-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газо- и теплопроводным сетям;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приобретение оборудования, мебели, материалов, инвентаря, оборудования, необходимого для обеспечения соответствия требованиям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Роспотребнадзора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МЧС России.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На приобретение инвентаря и материалов направляется не более 20 процентов от суммы предоставленного гранта.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highlight w:val="white"/>
        </w:rPr>
      </w:r>
      <w:bookmarkStart w:id="4" w:name="Пункт10объявление"/>
      <w:r>
        <w:rPr>
          <w:rFonts w:ascii="Times New Roman" w:hAnsi="Times New Roman" w:cs="Times New Roman" w:eastAsiaTheme="minorEastAsia"/>
          <w:sz w:val="26"/>
          <w:szCs w:val="26"/>
          <w:highlight w:val="white"/>
        </w:rPr>
        <w:t xml:space="preserve">10.</w:t>
      </w:r>
      <w:bookmarkEnd w:id="4"/>
      <w:r>
        <w:rPr>
          <w:rFonts w:ascii="Times New Roman" w:hAnsi="Times New Roman" w:cs="Times New Roman" w:eastAsiaTheme="minorEastAsia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 целях проведения конкурса управление не позднее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ffff"/>
        </w:rPr>
        <w:t xml:space="preserve">30 сентября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ffff"/>
        </w:rPr>
        <w:t xml:space="preserve">текуще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ffff"/>
        </w:rPr>
        <w:t xml:space="preserve">го года размещает на едином </w:t>
      </w:r>
      <w:bookmarkStart w:id="5" w:name="_Hlk91236973"/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ffff"/>
        </w:rPr>
        <w:t xml:space="preserve">портале </w:t>
      </w:r>
      <w:bookmarkEnd w:id="5"/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ffff"/>
        </w:rPr>
        <w:t xml:space="preserve">и на сайте управлени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я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t xml:space="preserve">объявление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 проведении конкурса с указанием: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сроков проведения конкурса, даты начала подачи или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конкурса;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наименования, места нахождения, почтового адреса, адреса электронной почты управления;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результата предоставления гранта;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доменное имя и (или) указатели страниц государственной информационной системы в сети «Интернет»,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на котором обеспечивается проведение конкурса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требований и условий к претендентам, определенные в соответствии с пунктами 7 и 8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настоящего Порядка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, которым претендент должен соответствовать на дату, определенную настоящим Порядком, и к перечню документов, представляемых претендентами для подтверждения соответствия указанным требованиям;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категории и критерии оценки,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указанных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в настоящем Порядке;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порядка подачи заявок и требований, предъявляемых к форме и содержанию заявок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в соответствии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настоящем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Порядком;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порядка отзыва заявок, порядка возврата заявок, определяющего, в том числе, основания для их возврата, порядка внесения изменений в заявки;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правила рассмотрения и оценки заявок;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порядка возврата заявок на доработку;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порядка отклонения заявок, а также информацию об основаниях их отклонения;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объема распределяемых грантов в рамках конкурса, порядка расчета размера грантов, установленного настоящим Порядком, правил распределения грантов по результатам конкурса;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порядка предоставления претендентам разъяснений положений объявления о проведении конкурса, даты начала и окончания срока такого предоставления;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порядка оценки заявок, включающего критерии оценки, показатели критериев оценки, и их весовое значение в общей оценке, необходимую для представления претендентом информацию по каждому критерию оценки, показателю критерия оценки, с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ведения, документы и материалы, подтверждающие такую информацию, минимальный проходной балл, который необходимо набрать по результатам оценки заявок претендентом для признания их победителями конкурса, сроки оценки заявок, а также информацию об участии или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неучастии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комиссии и экспертов (экспертных организаций) в оценке заявок;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срок, в течение которого победители конкурса должен подписать соглашение о представлении гранта (далее – соглашение);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условия признания победителей конкурса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уклонившимся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от заключения соглашения;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сроки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размещения протокола подведения итогов конкурса/документа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об итогах проведения конкурса (далее – протокол) на едином портале,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а также на сайте управления, которые не могут быть позднее 14-го календарного дня, следующего за днем определения победителя конкурса.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11. Претендент в сроки, указанные в объявлении о проведении конкурса, размещенном на едином портале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и на сайте управления в соответствии с Порядком, представляет в управление </w:t>
      </w:r>
      <w:hyperlink w:tooltip="#P265" w:anchor="P265" w:history="1">
        <w:r>
          <w:rPr>
            <w:rFonts w:ascii="Times New Roman" w:hAnsi="Times New Roman" w:eastAsia="Times New Roman" w:cs="Times New Roman"/>
            <w:color w:val="000000"/>
            <w:sz w:val="26"/>
            <w:szCs w:val="26"/>
            <w:highlight w:val="white"/>
          </w:rPr>
          <w:t xml:space="preserve">заявку</w:t>
        </w:r>
      </w:hyperlink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по форме согл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асно приложению 1 к настоящему Порядку с приложением следующих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документов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опии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документа, удостоверяющего личн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ост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ь гражданина Российской Федерации;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копии трудовой книжки и/или сведений о трудовой деятельности (при наличии);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копии документа о профильном образовании (при наличии);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копии документа, подтверждающего прохождение обучения основам</w:t>
      </w:r>
      <w:r>
        <w:rPr>
          <w:rFonts w:ascii="Times New Roman" w:hAnsi="Times New Roman" w:eastAsia="Times New Roman" w:cs="Times New Roman"/>
          <w:strike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предпринимательской деятельности (при наличии);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копии удостоверения ветерана боевых действий;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копии сведений, подтверждающие принадлежность к числу участников СВО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 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(справка воинской части и/или военного комиссариата);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проекта;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справки об отсутствии задолженности по заработной плате перед работниками на дату подачи документов;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согласия претендента на публикацию (размещение) на едином портале и на сайте управления информации о претенденте, о подаваемой им заявке и иной информации о претенденте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Претендент вправе представить оригиналы указанных в настоящем пункте документов по собственной инициативе.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Один претендент может подать только одну заявку.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Заявка и прилагаемые к ней документы (копии документов) должны быть прошиты, пронумерованы, скреплены подписью претендента и предоставлены в соответствии с описью документов, составленной в 2 экземплярах.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При представлении документов претендентом предъявляется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документ, удостоверяющий его личность. При представлении документов представителем претендента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Заявки и прилагаемые к ним документы, представленные позже срока, указанного в объявлении о проведении конкурса, к рассмотрению не принимаются.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 w:line="240" w:lineRule="auto"/>
        <w:ind w:firstLine="540"/>
        <w:contextualSpacing w:val="true"/>
        <w:jc w:val="both"/>
        <w:rPr>
          <w:rFonts w:ascii="Times New Roman" w:hAnsi="Times New Roman" w:cs="Times New Roman"/>
          <w:strike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Регистрация представленных заявок и прилагаемых к ним документов осуществляется в день их поступления должностным лицом, уполномоченным приказом управления на прием документов (далее - уполномоченное лицо), в порядке, утвержденном приказом управления.</w:t>
      </w:r>
      <w:r>
        <w:rPr>
          <w:rFonts w:ascii="Times New Roman" w:hAnsi="Times New Roman" w:cs="Times New Roman"/>
          <w:strike/>
          <w:sz w:val="26"/>
          <w:szCs w:val="26"/>
          <w:highlight w:val="white"/>
        </w:rPr>
      </w:r>
      <w:r>
        <w:rPr>
          <w:rFonts w:ascii="Times New Roman" w:hAnsi="Times New Roman" w:cs="Times New Roman"/>
          <w:strike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В случае подачи заявки и пакета документов через Цифровую платформу МСП (</w:t>
      </w:r>
      <w:hyperlink r:id="rId49" w:tooltip="https://xn--l1agf.xn--p1ai/" w:history="1">
        <w:r>
          <w:rPr>
            <w:rStyle w:val="734"/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  <w:u w:val="none"/>
          </w:rPr>
          <w:t xml:space="preserve">https://мсп.рф</w:t>
        </w:r>
      </w:hyperlink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) (далее - ЦП МСП):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Претендент, представляет заявку и перечень документов, предусмотренных настоящим пунктом, в электронной форме посредством ЦП МСП.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Для представления заявки претенден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т авторизуется на ЦП МСП, затем заполняет заявление с использованием специальной интерактивной формы в электронном виде и подписывает электронной подписью (далее - ЭП). Электронные образы документов согласно пункту 11 к настоящему Порядку подписываются ЭП.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highlight w:val="white"/>
        </w:rPr>
      </w:r>
      <w:bookmarkStart w:id="6" w:name="Пункт12запросы"/>
      <w:r>
        <w:rPr>
          <w:rFonts w:ascii="Times New Roman" w:hAnsi="Times New Roman" w:cs="Times New Roman" w:eastAsiaTheme="minorEastAsia"/>
          <w:sz w:val="26"/>
          <w:szCs w:val="26"/>
          <w:highlight w:val="white"/>
        </w:rPr>
        <w:t xml:space="preserve">12. </w:t>
      </w:r>
      <w:bookmarkEnd w:id="6"/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Уполномоченное лицо в течение 5 рабочих дней со дня, следующего за днем окончания срока подачи заявок, указанного в объявлении о проведении конкурса, в рамках межведомственного взаимодействия запрашивает следующие документы: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информацию налогового органа об отсутствии у претендента на едином налоговом счете или о не превышающим размере, определенном </w:t>
      </w:r>
      <w:hyperlink r:id="rId50" w:tooltip="https://login.consultant.ru/link/?req=doc&amp;base=LAW&amp;n=472841&amp;date=06.06.2024&amp;dst=5769&amp;field=134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пунктом 3 статьи 47</w:t>
        </w:r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  <w:t xml:space="preserve">, </w:t>
        </w:r>
        <w:r>
          <w:rPr>
            <w:rFonts w:ascii="Times New Roman" w:hAnsi="Times New Roman" w:eastAsia="Times New Roman" w:cs="Times New Roman"/>
            <w:color w:val="000000" w:themeColor="text1"/>
            <w:sz w:val="26"/>
            <w:szCs w:val="26"/>
            <w:highlight w:val="white"/>
          </w:rPr>
          <w:t xml:space="preserve">пунктом 3 статьи 4</w:t>
        </w:r>
        <w:r>
          <w:rPr>
            <w:rFonts w:ascii="Times New Roman" w:hAnsi="Times New Roman" w:eastAsia="Times New Roman" w:cs="Times New Roman"/>
            <w:color w:val="000000" w:themeColor="text1"/>
            <w:sz w:val="26"/>
            <w:szCs w:val="26"/>
            <w:highlight w:val="white"/>
          </w:rPr>
          <w:t xml:space="preserve">8</w:t>
        </w:r>
        <w:r>
          <w:rPr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</w:rPr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на дату формирования справки, но не ранее даты подачи заявки;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информацию управления финансов Липецкой области об отсутствии просроченной задолженности по возврату в областной бюджет иных субсидий, бюджетных инвестиций на дату подачи заявки;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информацию управления имущественных и земельных отношений Липецкой области об отсутствии просроченной (неурегулированной) задолженности в областной бюджет по арендной плате на дату подачи заявки.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Претендент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вправе представить оригиналы указанных документов по собственной инициативе.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13. В течение 15 рабочих дней со дня, следующего за днем окончания срока подачи заявок, указанного в объявлении о проведении конкурса: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1) уполномоченное лицо: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рассматривает документы, указанные в пунктах 11 и 12 настоящего Порядка, проводит проверку на соответствие предъявляемым настоящим Порядком требованиям;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принимает решение о допуске (об отказе в допуске) претендентов к участию в конкурсе;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оформляет принятое решение актом;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подготавливает проект приказа упра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вления с отражением в нем следующей информации: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перечня претендентов, заявки которых были рассмотрены;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перечня претендентов, заявки которых допущены к участию в конкурсе;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ечень претендентов, заявки которых были отклонены, с указанием причин их отклонения, в том числе положений настоящего Порядка, которым не соответствуют такие заявки;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iCs/>
          <w:color w:val="000000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2) начальник управления подписывает приказ,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подготовленный в соответствии с требованиями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настоящего Порядка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(далее - приказ об утверждении перечня претендентов,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заявки которых допущены (отклонены) к участию в конкурсе)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iCs/>
          <w:color w:val="000000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iCs/>
          <w:color w:val="000000"/>
          <w:sz w:val="26"/>
          <w:szCs w:val="26"/>
          <w:highlight w:val="white"/>
          <w14:ligatures w14:val="non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3) уполномоченное лицо: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iCs/>
          <w:color w:val="000000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размещает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риказ об утверждении перечня претендентов, заявки которых допущены (отклонены) к участию в конкурсе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на сайте управления и на едином портале;</w:t>
      </w:r>
      <w:r>
        <w:rPr>
          <w:rFonts w:ascii="Times New Roman" w:hAnsi="Times New Roman" w:eastAsia="Times New Roman" w:cs="Times New Roman"/>
          <w:iCs/>
          <w:color w:val="000000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iCs/>
          <w:color w:val="000000"/>
          <w:sz w:val="26"/>
          <w:szCs w:val="26"/>
          <w:highlight w:val="white"/>
          <w14:ligatures w14:val="none"/>
        </w:rPr>
      </w:r>
    </w:p>
    <w:p>
      <w:pPr>
        <w:widowControl w:val="false"/>
        <w:pBdr/>
        <w:shd w:val="clear" w:color="auto" w:fill="ffffff"/>
        <w:tabs>
          <w:tab w:val="left" w:leader="none" w:pos="1152"/>
        </w:tabs>
        <w:spacing w:line="240" w:lineRule="auto"/>
        <w:ind w:right="22"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направляет претендентам, допущенным к участию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конкурса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(далее -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white"/>
        </w:rPr>
        <w:t xml:space="preserve">участники конкурса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), уведомления с указанием места, даты и времени проведения конкурса;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widowControl w:val="false"/>
        <w:pBdr/>
        <w:shd w:val="clear" w:color="auto" w:fill="ffffff"/>
        <w:tabs>
          <w:tab w:val="left" w:leader="none" w:pos="1152"/>
        </w:tabs>
        <w:spacing w:line="240" w:lineRule="auto"/>
        <w:ind w:right="22"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направляет претендентам, не допущенным к участию в конкурсе, уведомления с указанием причин отказа в допуске к участию в конкурсе.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widowControl w:val="false"/>
        <w:pBdr/>
        <w:shd w:val="clear" w:color="auto" w:fill="ffffff"/>
        <w:tabs>
          <w:tab w:val="left" w:leader="none" w:pos="1152"/>
        </w:tabs>
        <w:spacing w:line="240" w:lineRule="auto"/>
        <w:ind w:right="22"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Уведомление направляется способом, указанным претендентом в заявке, позволяющим достоверно установить факт и дату направления уведомления.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widowControl w:val="false"/>
        <w:pBdr/>
        <w:shd w:val="clear" w:color="auto" w:fill="ffffff"/>
        <w:tabs>
          <w:tab w:val="left" w:leader="none" w:pos="1152"/>
        </w:tabs>
        <w:spacing w:line="240" w:lineRule="auto"/>
        <w:ind w:right="22" w:firstLine="567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14.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Основания для отклонения заявок: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hd w:val="clear" w:color="auto" w:fill="ffffff"/>
        <w:tabs>
          <w:tab w:val="left" w:leader="none" w:pos="1152"/>
        </w:tabs>
        <w:spacing w:line="240" w:lineRule="auto"/>
        <w:ind w:right="22" w:firstLine="567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несоответствие претендента условиям и требованиям, установленным настоящим Порядком;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hd w:val="clear" w:color="auto" w:fill="ffffff"/>
        <w:tabs>
          <w:tab w:val="left" w:leader="none" w:pos="1152"/>
        </w:tabs>
        <w:spacing w:line="240" w:lineRule="auto"/>
        <w:ind w:right="22" w:firstLine="567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непредставление (представление не в полном объеме) документов, указанных в объявлении о проведении конкурса, предусмотренных настоящим Порядком;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hd w:val="clear" w:color="auto" w:fill="ffffff"/>
        <w:tabs>
          <w:tab w:val="left" w:leader="none" w:pos="1152"/>
        </w:tabs>
        <w:spacing w:line="240" w:lineRule="auto"/>
        <w:ind w:right="22" w:firstLine="567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несоответствие представленных претендентом заявок и (или) документов требованиям, установленным в объявлении о проведении конкурса, предусмотренных настоящим Порядком;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hd w:val="clear" w:color="auto" w:fill="ffffff"/>
        <w:tabs>
          <w:tab w:val="left" w:leader="none" w:pos="1152"/>
        </w:tabs>
        <w:spacing w:line="240" w:lineRule="auto"/>
        <w:ind w:right="22" w:firstLine="567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недостоверность информации, содержащейся в документах, представленных претендентом в целях подтверждения соответствия установленным настоящим Порядком требованиям;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hd w:val="clear" w:color="auto" w:fill="ffffff"/>
        <w:tabs>
          <w:tab w:val="left" w:leader="none" w:pos="1152"/>
        </w:tabs>
        <w:spacing w:line="240" w:lineRule="auto"/>
        <w:ind w:right="22" w:firstLine="567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несоответствие претендента категории, установленной настоящим Порядком;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widowControl w:val="false"/>
        <w:pBdr/>
        <w:shd w:val="clear" w:color="auto" w:fill="ffffff"/>
        <w:tabs>
          <w:tab w:val="left" w:leader="none" w:pos="1152"/>
        </w:tabs>
        <w:spacing w:line="240" w:lineRule="auto"/>
        <w:ind w:right="22" w:firstLine="567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подача претендентом заявки после даты и (или) времени, определенных для подачи заявок в объявлении о проведении конкурса;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наличие принятой и зарегистрированной заявки претендента, которая не была им отозвана, в случае подачи заявки лично на бумажном носителе и через ЦП МСП;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неустранение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оснований для приостановления приема и регистрации заявки при представлении документов и (или) пояснений в случае подачи заявки через ЦП МСП.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Основаниями для приостановления приема и регистрации заявки на ЦП МСП являются: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1) непредставление (представление не в полном объеме) документов, установленных в пункте 11 к настоящему Порядку;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2) некорректное заполнение обязательных полей заявления на ЦП МСП (отсутствие заполнения, недостоверное, неполное или неправильное, не соответствующее требованиям, установленным настоящим Порядком);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3) представление электронных образов документов посредством ЦП МСП не позволяет в полном объеме прочитать текст документа и (или) распознать обязательные реквизиты документов;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4) наличие нечитаемых исправлений в представленных документах.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Отказ в приеме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регистрации заявки или возврат заявки без рассмотрения (далее - аннулирование заявки) через ЦП МСП не препятствует повторному обращению претендента за предоставлением гранта до даты окончания приема заявок, установленной объявлением о проведении конкурса.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Претендент представляет документы и (или) пояснения, касающиеся сведений и данных, указанных в заявке, в срок не более 4 рабочих дней со дня направления Уведомления о представлении документов в личный кабинет претендента ЦП МСП.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 случае устранения претендентом оснований для приостановления приема и регис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трации заявки, установленных настоящим Порядком, Управление регистрирует заявку в журнале регистрации не позднее 1 рабочего дня со дня представления претендентом дополнительных документов и (или) пояснений, касающихся сведений и данных, указанных в заявке.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 случае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неустранения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претендентом оснований для приостановления приема и регистрации за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явки, установленных настоящим Порядком, Управление отказывает в приеме и регистрации заявки на ЦП МСП не позднее 1 рабочего дня со дня представления претендентом дополнительных документов и (или) пояснений, касающихся сведений и данных, указанных в заявке.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 случае непредставления претендентом документов и (или) пояснений, касающихся сведений и данных, указанных в заявке, в срок, установленный настоящим пунктом Порядка, заявка аннулируется.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15. Уполномоченное лицо в течение 5 рабочих дней со дня, следующего за днем размещения на едином портале и сайте управления приказа об утверждении перечня претендентов,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заявки которых допущены (отклонены) к участию в конкурсе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, передает документы участников конкурса на рассмотрение конкурсной комиссии.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16. Положение о конкурсной комисс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ии и ее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составе утверждаются приказом управления.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В состав конкурсной комиссии входят лица, замещающие должности государственной гражданской службы в управлении, представит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ели отраслевых органов исполнительной власти Липецкой области, региональной инфраструктуры поддержки малого и среднего предпринимательства Липецкой области, ассоциаций, союзов и иных объединений предпринимателей, действующих на территории Липецкой области.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Количественный состав конкурсной комиссии должен составлять не менее девяти человек.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17. Конкурсная комиссия в течение 10 рабочих дней со дня, следующего за днем получени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я документов, проводит оценку представленных документов и проектов исходя из наилучших условий достижения результатов предоставления гранта для обеспечения реализации проекта в порядке, установленном настоящим Порядком, и оформляет свое решение протоколом.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18. Оценка проектов, представленных в составе заявок претендентов, осуществляется по балльной системе.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Каждый член конкурсной комиссии, принимающий участие в ее заседании, в оценочном листе выставляет проекту, представленному в составе заявки претендента, соответствующий балл по каждому критерию оценки в соответствии с </w:t>
      </w:r>
      <w:hyperlink w:tooltip="#P125" w:anchor="P125" w:history="1">
        <w:r>
          <w:rPr>
            <w:rFonts w:ascii="Times New Roman" w:hAnsi="Times New Roman" w:eastAsia="Times New Roman" w:cs="Times New Roman"/>
            <w:color w:val="000000"/>
            <w:sz w:val="26"/>
            <w:szCs w:val="26"/>
            <w:highlight w:val="white"/>
          </w:rPr>
          <w:t xml:space="preserve">таблицей</w:t>
        </w:r>
      </w:hyperlink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настоящего пункта.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Оценка проекта участника конкурса по критериям оценки, указанным в </w:t>
      </w:r>
      <w:hyperlink w:tooltip="#P177" w:anchor="P177" w:history="1">
        <w:r>
          <w:rPr>
            <w:rFonts w:ascii="Times New Roman" w:hAnsi="Times New Roman" w:eastAsia="Times New Roman" w:cs="Times New Roman"/>
            <w:color w:val="000000"/>
            <w:sz w:val="26"/>
            <w:szCs w:val="26"/>
            <w:highlight w:val="white"/>
          </w:rPr>
          <w:t xml:space="preserve">строке 6</w:t>
        </w:r>
      </w:hyperlink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таблицы настоящего пункта, осуществляется конкурсной комиссией на основании презентации проекта участником конкурса или представителем участника конкурса в форме очного собеседования или видео-конференц-связи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(д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алее - презентация проекта), которое включает рассмотрение информации по проекту, ответы на вопросы членов конкурсной комиссии в части обоснования расходования гранта, планируемых приобретений и планируемых производственно-экономических показателей проекта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Уч</w:t>
      </w:r>
      <w:bookmarkStart w:id="7" w:name="пункт22размергранта"/>
      <w:r>
        <w:rPr>
          <w:highlight w:val="white"/>
        </w:rPr>
      </w:r>
      <w:bookmarkStart w:id="8" w:name="Пункт18оценка"/>
      <w:r>
        <w:rPr>
          <w:highlight w:val="white"/>
        </w:rPr>
      </w:r>
      <w:bookmarkEnd w:id="7"/>
      <w:r>
        <w:rPr>
          <w:highlight w:val="white"/>
        </w:rPr>
      </w:r>
      <w:bookmarkEnd w:id="8"/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астником конкурса и/или его представителем предъявляется документ, удостоверяющий его личность, а представителем также документ, подтверждающий его полномочия, оформленный в соответствии с действующим законодательством.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Критерии оценки проектов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/>
        <w:contextualSpacing w:val="true"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Таблица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tbl>
      <w:tblPr>
        <w:tblW w:w="9501" w:type="dxa"/>
        <w:jc w:val="center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5608"/>
        <w:gridCol w:w="1853"/>
        <w:gridCol w:w="1416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критерия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оценки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Максимальное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количество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баллов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Весовое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значение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</w:tr>
      <w:tr>
        <w:trPr>
          <w:jc w:val="center"/>
          <w:trHeight w:val="7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Направления деятельности начинающего субъекта малого предпринимательства (в соответствии с проектом)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0,05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обрабатывающее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производство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деятельность в области информации и связи, деятельность в области здравоохранения и социальных услуг, образование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иные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направления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Наличие у участника конкурса опыта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 в сфере планируемого к реализации вида деятельности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0,05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имеет трудовой стаж не менее трех лет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имеет трудовой стаж менее трех лет, не имеет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Наличие у участника конкурса профильного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 в сфере планируемого к реализации вида деятельности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0,05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имеет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не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имеет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Прохождение обучения основам предпринимательской деятельности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обучение пройдено в текущем и (или) прошлом годах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обучение пройдено более двух лет назад, не имеет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5.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Планируется создание новых рабочих мест в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период реализации проекта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свыше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 3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рабочих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мест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менее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 3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рабочих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мест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continue"/>
            <w:textDirection w:val="lrTb"/>
            <w:noWrap w:val="false"/>
          </w:tcPr>
          <w:p>
            <w:pPr>
              <w:pBdr/>
              <w:spacing w:after="0"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highlight w:val="white"/>
              </w:rPr>
            </w:r>
            <w:bookmarkStart w:id="9" w:name="P177"/>
            <w:r>
              <w:rPr>
                <w:highlight w:val="white"/>
              </w:rPr>
            </w:r>
            <w:bookmarkEnd w:id="9"/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6.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Оценка эффективности представленного проекта (оценивается по итогам презентации проекта) &lt;*&gt;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0,55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один голос члена комиссии «за»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один голос члена комиссии «против»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</w:tr>
    </w:tbl>
    <w:p>
      <w:pPr>
        <w:pStyle w:val="754"/>
        <w:pBdr/>
        <w:spacing/>
        <w:ind w:firstLine="540"/>
        <w:contextualSpacing w:val="true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-------------------------------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&lt;*&gt; В случае неявки участника конкурса на презентацию проекта соответствующему критерию оценки присваивается минимальное значение балла.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19. Количество баллов, присваиваемых каждому критерию оценки, определяется как среднее арифметическое оценок (в баллах) всех членов конкурсной комиссии, округленное до двух знаков после запятой, умноженное на весовое значение данного критерия оценки.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Итоговая оценка проекта, представленного в составе заявки, определяется как сумма полученных баллов по каждому критерию оценки.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Участники конкурса, итоговые оценки проектов, представленных в составе заявок, которых составили 1,73 балла и более, признаются претендентами на получение гранта (далее -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white"/>
          <w:lang w:val="ru-RU"/>
        </w:rPr>
        <w:t xml:space="preserve">претенденты на получение гранта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На основании итоговой оценки проекта, представленного в составе заявки, конкурсной комиссией присваивается каждой заявке порядковый номер (в порядке уменьшения суммы набранных при оценке баллов).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Если две или более заявок набрали при проведении оценки проектов одинаковую сумму баллов, меньший порядковый номер присваивается заявке, имеющей наибольшее количество планируемых к созданию новых рабочих мест.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20. Протокол, указанный в пункте 17 настоящего Порядка (далее - протокол), в течение 1 рабочего дня со дня, следующего за днем его подписания всеми членами конкурсной комиссии, передается уполномоченному лицу управления.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К протоколу прикладывается общий рейтинг заявок, допущенных к конкурсу.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21. В течение 5 рабочих дней со дня, следующего за днем получения протокола, указанного в </w:t>
      </w:r>
      <w:hyperlink w:tooltip="#P118" w:anchor="P118" w:history="1">
        <w:r>
          <w:rPr>
            <w:rFonts w:ascii="Times New Roman" w:hAnsi="Times New Roman" w:eastAsia="Times New Roman" w:cs="Times New Roman"/>
            <w:color w:val="000000"/>
            <w:sz w:val="26"/>
            <w:szCs w:val="26"/>
            <w:highlight w:val="white"/>
            <w:lang w:val="ru-RU"/>
          </w:rPr>
          <w:t xml:space="preserve">пункте 17</w:t>
        </w:r>
      </w:hyperlink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 настоящего Порядка: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1) уполномоченное лицо: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а) осуществляет распределение грантов между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val="ru-RU"/>
        </w:rPr>
        <w:t xml:space="preserve">претендентами на получение гранта в размере, указанном в пункте 22 настоящего Порядке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, в следующем порядке: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в случае если совокупный объем запрашиваемых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val="ru-RU"/>
        </w:rPr>
        <w:t xml:space="preserve">претендентами на получение гранта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 согласно поданным на конкурс заявкам не превышает объема лимитов бюджетных обязательств, доведенных до управления, размер предоставляемого гранта устанавливается в объемах, указанных в заявках;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в случае если совокупный объем запрашиваемых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val="ru-RU"/>
        </w:rPr>
        <w:t xml:space="preserve">претендентами на получение гранта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 согласно поданным на конкурс заявкам превышает объем лимитов бюджетных обязательств, доведенных до управления, размер предоставляемого гран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та устанавливается исходя из сформированного рейтинга заявок в объемах, указанных в заявках. При недостаточности лимитов бюджетных обязательств, доведенных до управления, для обеспечения затрат, указанных в заявке в полном объеме, грант не предоставляется;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б) подготавливает проект приказа о предоставлении грантов из областного бюджета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val="ru-RU"/>
        </w:rPr>
        <w:t xml:space="preserve">претендентами на получение гранта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 (далее - приказ о предоставлении грантов), который включает следующие сведения: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val="ru-RU"/>
        </w:rPr>
        <w:t xml:space="preserve">дата, время и место оценки конкурсной комиссией;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информацию об участниках конкурса, документы которых были оценены конкурсной комиссией;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информацию об участниках конкурса, заявки которых были отклонены конкурсной комиссией;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последовательность оц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енки документов участников конкурса, присвоенные документам участников конкурса значения по каждому из предусмотренных критериев оценки, принятое на основании результатов оценки указанных документов решение о присвоении таким документам порядковых номеров;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val="ru-RU"/>
        </w:rPr>
        <w:t xml:space="preserve">наименование претендентов на получение  гранта, с которым заключается соглашение (далее –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  <w:lang w:val="ru-RU"/>
        </w:rPr>
        <w:t xml:space="preserve">получатели гранта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val="ru-RU"/>
        </w:rPr>
        <w:t xml:space="preserve">), и размер предоставляемого им гранта.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2) начальник управления рассматривает и подписывает приказ о предоставлении грантов либо возвращает проект приказа для доработки;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3) уполномоченное лицо: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размещает приказ о предоставлении грантов на сайте управления и на едином портале;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направляет получателю гранта уведомление о необходимости: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осуществления государственной регистрации в качестве субъекта малого предпринимательства и представить управлению </w:t>
      </w:r>
      <w:hyperlink w:tooltip="#P441" w:anchor="P441" w:history="1">
        <w:r>
          <w:rPr>
            <w:rFonts w:ascii="Times New Roman" w:hAnsi="Times New Roman" w:eastAsia="Times New Roman" w:cs="Times New Roman"/>
            <w:color w:val="000000"/>
            <w:sz w:val="26"/>
            <w:szCs w:val="26"/>
            <w:highlight w:val="white"/>
            <w:lang w:val="ru-RU"/>
          </w:rPr>
          <w:t xml:space="preserve">сведения</w:t>
        </w:r>
      </w:hyperlink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 о регистрации в качестве субъекта малого предпринимательства по форме согласно приложению 2 к настоящему Порядку в течение 15 рабочих дней со дня, следующего за днем направления уведомления о государственной регистрации;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заключения соглашения о предоставлении гранта в течение 20 рабочих дней со дня, следующего за днем направления уведомления о заключении соглашения;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направляет претенденту на получение гранта, с которым не заключается соглашение, уведомление 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незаключении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 с ним соглашения с указанием основания отказа.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 w:firstLine="540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Уведомление направляется способом, указанным в заявке, позволяющим установить факт и дату направления уведомления получателям гранта (или участникам конкурса), а в случае подачи заявки через ЦП МСП - в личный кабинет ЦП МСП.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В случае подачи заявки через ЦП МСП соглашение заключается в электронной форме на ЦП МСП в срок, не превышающий 4 рабочих дней со дня утверждения приказа об утверждении перечня получателей гранта: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в течение 2 рабочих дней со дня ут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верждения приказа об утверждении перечня получателей гранта управление направляет получателю гранта уведомление о предоставлении гранта и соглашение, подписанное ЭП уполномоченного должностного лица управления, в личный кабинет получателя гранта на ЦП МСП;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в течение 2 рабочих дней со дня отправления соглашения получатель гранта направляет в адрес управления соглашение, подписанное ЭП со своей стороны.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Дополнительные соглашения к соглашению заключаются в бумажном виде либо на ЦП МСП (при наличии технической возможности).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Управление заключает с получателем гранта соглашение в день его обращения в соответствии с типовой формой, установленной управлением финансов Липецкой области.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В случае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незаключения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соглашения грант не перечисляется.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22. Гранты предоставляются в размере не более 500 тыс. руб. на одного получателя гранта.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40"/>
        <w:contextualSpacing w:val="true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23. Грант перечисляется получателю гранта единовременно в полном объеме средств, предусмотренных соглашением.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white"/>
        </w:rPr>
        <w:t xml:space="preserve">24.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Обязательными условиями предоставления гранта, включаемыми в соглашения, являются: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запрет приобретения получателями гранта, а также иными юридическими лицами, получающими средства на основании договоров, заключенных с получателями грантов, за счет полученны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согласие получателя гранта, лиц, получающих средства на основании договоров, заключенных с получателями грантов (за исключением государственных унитарных предприятий, хозяйственных товариществ и обществ с участием публично-правовых образований в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управлением соблюдения порядка и условий предоставления гранта, в том числе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в части достижения результатов предоставления гранта, а также проверки органом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государственного финансового контроля в соответствии со статьями 268.1 и 269.2 Бюджетного кодекса Российской Федерации и на включение таких положений в соглашение.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25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Результатом предоставлени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я гранта является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val="ru-RU"/>
        </w:rPr>
        <w:t xml:space="preserve"> количество созданных рабочих мест субъектами малого и среднего предпринимательства, получившими финансовую поддержку.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zh-CN"/>
        </w:rPr>
        <w:t xml:space="preserve">Типом результата предоставления субсидии является оказание финансовой поддержки юридическим лицам, индивидуальным предпринимателям, а также физическим лицам – производителям товаров, работ, услуг.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Точная дата завершения и конечное значение результата предоставления гранта устанавливается в соглашении.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26.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В случае уменьшения управлению ранее доведенных лимитов бюджетных обязательств, приводящего к невозможности предоставления гранта в размере, определенном в соглашении, условия о согласовании новых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условий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соглашения или о расторжении соглашения при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недостижении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согласия по новым условиям вклю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чаются в соглашение.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suppressLineNumbers w:val="false"/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Внесение изменений в соглашен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ие (расторжение соглашения) осуществляется на основании дополнительного соглашения в соответствии с типовой формой, установленной управлением финансов Липецкой области.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168" w:line="288" w:lineRule="atLeast"/>
        <w:ind w:right="0" w:firstLine="540" w:left="0"/>
        <w:contextualSpacing w:val="true"/>
        <w:jc w:val="both"/>
        <w:rPr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27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. При увеличении объема средств, предусмотренных Законом об областном бюджете на указанные в настоящем Порядке цели, при наличии нераспределенных грантов, Управление проводит новый конкурс в соответствии с настоящим Порядком.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168" w:line="288" w:lineRule="atLeast"/>
        <w:ind w:right="0" w:firstLine="540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Управление размещает объявление о проведении нового конкурса на едином портале и сайте Управления с указанием даты начала подачи или окончания приема заявок претендентов, которая не может быть ранее 30-го календарного дня, следующего за днем размещения объ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явления о проведении нового конкурса.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suppressLineNumbers w:val="false"/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28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При реорганизации получателя гранта: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suppressLineNumbers w:val="false"/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suppressLineNumbers w:val="false"/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соглашение расторгается с фо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рмированием уведомления о расторжении соглашения в одностороннем п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орядке и акта об исполнении обязательств по соглашению с отражением информации о неисполненных получателем гранта обязатель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ствах, источником финансового обеспечения которых является грант, и возврате не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исполненного остатка гранта в бюджет Липецкой области.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29. В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случае призыва на военную службу по мобилизации или прохождения военной службы по контракту исполнение обязательств по соглашению приостанавливается на срок прохождения военной службы по мобилизац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(или) в случае невозможности достижения результата предоставления гранта без изм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енения размера гранта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с возможностью уменьшения значения результата предоставления гранта, а также продлением сроков использования гранта или отказом от гранта без применения штрафных санкций, по согласованию главного распорядителя средств областного бюджета.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30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 У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правление до заключения соглашения с победителями конкурса может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отменить конкурс только в случае возникновения обстоятельств непреодолимой силы в соответствии с пунктом 3 статьи 401 Гражданского кодекса Российской Федер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ации. Объявление об отмене конкурса содержит информацию о причинах отмены конкурса и размещается на едином портале, сайте управления в день принятия такого решения. Конкурс считается отмененным со дня размещения объявления о его отмене на сайте управления.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31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Уполномоченное лицо в течение 5 рабочих дней со дня, следующего з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а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днем заключения с получателем гранта соглашения, подготавливает проект приказа о выплате гранта в разрезе получателей гранта (далее - приказ о выплате грантов).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Начальник Управления подписывает приказ о выплате грантов.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Перечисление грантов с лицевого счета Управления на расчетные или корреспонден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тские счета, открытые получателям грантов в учреждениях Центрального банка Российской Федерации или кредитных организациях, указанные в соглашениях, осуществляется не позднее 10-го рабочего дня со дня, следующего за днем издания приказа о выплате грантов.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bookmarkStart w:id="10" w:name="_GoBack"/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bookmarkEnd w:id="10"/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32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Конкурс получателей грантов признается несостоявшимся, о чем оформляется протокол, который публикуется в течение 5 рабочих дней со дня его подписания на едином портале и на сайте Управления, в следующих случаях: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 окончании срока подачи заявок подана только одна заявка;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 результатам рассмотрения заявок только одна заявка соответствует требованиям, установленным в объявлении о проведении конкурса получателей грантов;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 окончании срока подачи заявок не подано ни одной заявки;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 результатам рассмотрения заявок отклонены все заявки.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Соглашени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е заключается с претендентом на конкурс, признанный несостоявшимся, в случае, если по результатам рассмотрения заявок единственная заявка признана соответствующей требованиям и условиям, установленным в объявлении о проведении конкурса получателей грантов.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0000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Получатели грантов представляют в управление: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отчет о достижении значений результата предоставления гранта по форме, установленной в соглашении: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ежеквартально не позднее 10-го рабочего дня месяца, следующего за отчетным кварталом;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14:ligatures w14:val="non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за год - до 20 янв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аря года, следующего за годом предоставления гранта.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отчет об осуществлении расходов, источником финансового обеспечения которых является грант по форме, установленной в соглашении: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ежеквартально не позднее 10-го рабочего дня месяца, следующего за отчетным кварталом;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за год - до 20 января года, следующего за годом предоставления гранта;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отчет о реализации плана мероприятий по достижению результата предоставления гранта (контрольных точек) по форме, установленной в соглашении: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ежемесячно не позднее 2-го рабочего дня месяца, следующего за отчетным месяцем;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за год – не позднее 10-го рабочего дня года, следующего за годом предоставления гранта.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Управление  принимает и проверяет отчетность, представленную получателем гранта, в течение 20 рабочих дней, следующих за днем ее предоставления.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34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Проверки соблюдения порядка и условий предоставления грантов, в том числе в части достижения результатов их предоставления в отношении получателей грантов осуществляют Управление, а также орган государственного финансового контроля в соответствии со </w:t>
      </w:r>
      <w:hyperlink r:id="rId51" w:tooltip="https://login.consultant.ru/link/?req=doc&amp;base=LAW&amp;n=470713&amp;dst=3704&amp;field=134&amp;date=11.06.2024" w:history="1">
        <w:r>
          <w:rPr>
            <w:rStyle w:val="734"/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  <w:u w:val="none"/>
          </w:rPr>
          <w:t xml:space="preserve">статьями 268.1</w:t>
        </w:r>
      </w:hyperlink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и </w:t>
      </w:r>
      <w:hyperlink r:id="rId52" w:tooltip="https://login.consultant.ru/link/?req=doc&amp;base=LAW&amp;n=470713&amp;dst=3722&amp;field=134&amp;date=11.06.2024" w:history="1">
        <w:r>
          <w:rPr>
            <w:rStyle w:val="734"/>
            <w:rFonts w:ascii="Times New Roman" w:hAnsi="Times New Roman" w:eastAsia="Times New Roman" w:cs="Times New Roman"/>
            <w:color w:val="0000ff"/>
            <w:sz w:val="26"/>
            <w:szCs w:val="26"/>
            <w:highlight w:val="white"/>
            <w:u w:val="none"/>
          </w:rPr>
          <w:t xml:space="preserve">269.2</w:t>
        </w:r>
      </w:hyperlink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Бюджетного кодекса Российской Федерации.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5.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Управлением проводится мониторинг достижения значения результата предоставления гранта, определенного соглашением, и событий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отражающих факт завершения соответствующего мероприятия по получению результата предоставления гранта (контрольная точка), в порядке и по формам, установленным в соответствии с утвержденным Министерством финансов Российской Федерации порядком проведения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мониторинга достижения результатов предоставления гранта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6.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 Возврат гранта в бюджет Липецкой области, а также уплата пени в случае нарушения получателем гранта условий и порядка, установленных при предоставлении гранта,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выявленного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в том числе по фактам проверок, проведенных управлением и органом государственного финансового контроля, а также в случае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недостижения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значения результата предоставления гранта, осуществляется в размере, порядке и сроки, установленные соглашением.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7.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Возврат не использованной в отчетном финансовом году гранта (остатка гранта) осуществляется в порядки и сроки, установленные Законом об областном бюджете.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pacing w:line="240" w:lineRule="auto"/>
        <w:ind w:firstLine="539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8. Получатель гранта несет ответственность за достоверность представляемых документов в соответствии с действующим законодательством.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outlineLvl w:val="1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outlineLvl w:val="1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outlineLvl w:val="1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outlineLvl w:val="1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outlineLvl w:val="1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Приложение 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к Порядку предоставления гранта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«Легкий старт» в форме субсидий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на финансовое обеспечение затрат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начинающих субъектов малого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предпринимательства (за исключением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производственных кооперативов,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потребительских кооперативов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и крестьянских (фермерских)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хозяйств), связанных с организацией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собственного дела по одному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из приоритетных направлений деятельности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rPr>
          <w:rFonts w:ascii="Times New Roman" w:hAnsi="Times New Roman" w:cs="Times New Roman"/>
          <w:color w:val="000000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Cs w:val="24"/>
          <w:highlight w:val="white"/>
          <w:lang w:val="ru-RU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</w:p>
    <w:p>
      <w:pPr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Форма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Начальнику управления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экономического развития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Липецкой области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Регистрационный номер № ______ Дата регистрации заявки __________20___г.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Заявка претендента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suppressLineNumbers w:val="false"/>
        <w:pBdr/>
        <w:spacing/>
        <w:ind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_____________________________________________________________________________направляю заявку на участие в конкурсе на предоставление гранта «Легкий старт» в форме субсидий на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финансовое обеспечение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затрат начинающи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х субъек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тов малого предпринимательства (за исключением производственных кооперативов, потребительских кооперативов и крестьянских (фермерских) хозяйств), связанных с организацией собственного дела, по одному из приоритетных направлений деятельности в сумме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_____________________(__________________________________________)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руб. ____ коп.,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suppressLineNumbers w:val="false"/>
        <w:pBdr/>
        <w:spacing/>
        <w:ind/>
        <w:contextualSpacing w:val="true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              (сумма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цифрами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)                            (сумма прописью)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suppressLineNumbers w:val="false"/>
        <w:pBdr/>
        <w:spacing/>
        <w:ind/>
        <w:contextualSpacing w:val="true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 том числе за счет средств областного бюджета в сумме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____________________(____________________________________________)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руб.____ коп.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suppressLineNumbers w:val="false"/>
        <w:pBdr/>
        <w:spacing/>
        <w:ind/>
        <w:contextualSpacing w:val="true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       (сумма цифрами)                                              (сумма прописью)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suppressLineNumbers w:val="false"/>
        <w:pBdr/>
        <w:spacing/>
        <w:ind/>
        <w:contextualSpacing w:val="true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suppressLineNumbers w:val="false"/>
        <w:pBdr/>
        <w:spacing/>
        <w:ind/>
        <w:contextualSpacing w:val="true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Адрес места регистрации 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suppressLineNumbers w:val="false"/>
        <w:pBdr/>
        <w:spacing/>
        <w:ind/>
        <w:contextualSpacing w:val="true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Адрес фактического проживания 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suppressLineNumbers w:val="false"/>
        <w:pBdr/>
        <w:spacing/>
        <w:ind/>
        <w:contextualSpacing w:val="true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Адрес осуществления деятельности 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ИНН 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Подтверждение факта участия претендента в специальной военной операции 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Наименование проекта «_____________________________________________________»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Вид деятельности (наименование, ОКВЭД)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Телефон, e-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mail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и другие контакты для оперативной связи  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 условиями и порядком предоставления гранта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ознакомлен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и обязуюсь: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осуществить государственную регистрацию в качестве субъекта малого предпринимательства и предоставить управлению сведения о регистрации в качестве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субъекта малого предпринимательства по форме согласно приложению 2 к настоящему Порядку в течение 15 рабочих дней со дня, следующего за днем получения уведомления о государственной регистрации;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4"/>
        <w:pBdr/>
        <w:spacing w:line="283" w:lineRule="atLeast"/>
        <w:ind w:firstLine="567"/>
        <w:jc w:val="both"/>
        <w:rPr>
          <w:rFonts w:ascii="Times New Roman" w:hAnsi="Times New Roman" w:cs="Times New Roman"/>
          <w:szCs w:val="24"/>
          <w:highlight w:val="white"/>
        </w:rPr>
      </w:pPr>
      <w:r>
        <w:rPr>
          <w:rFonts w:ascii="Times New Roman" w:hAnsi="Times New Roman" w:eastAsia="Times New Roman" w:cs="Times New Roman"/>
          <w:szCs w:val="24"/>
          <w:highlight w:val="white"/>
          <w:lang w:val="ru-RU"/>
        </w:rPr>
        <w:t xml:space="preserve">соответствовать критериям </w:t>
      </w:r>
      <w:r>
        <w:rPr>
          <w:rFonts w:ascii="Times New Roman" w:hAnsi="Times New Roman" w:eastAsia="Times New Roman" w:cs="Times New Roman"/>
          <w:szCs w:val="24"/>
          <w:highlight w:val="white"/>
          <w:lang w:val="ru-RU"/>
        </w:rPr>
        <w:t xml:space="preserve">микропредприятия</w:t>
      </w:r>
      <w:r>
        <w:rPr>
          <w:rFonts w:ascii="Times New Roman" w:hAnsi="Times New Roman" w:eastAsia="Times New Roman" w:cs="Times New Roman"/>
          <w:szCs w:val="24"/>
          <w:highlight w:val="white"/>
          <w:lang w:val="ru-RU"/>
        </w:rPr>
        <w:t xml:space="preserve">, установленным Федеральным </w:t>
      </w:r>
      <w:hyperlink r:id="rId53" w:tooltip="consultantplus://offline/ref=EFDA7DF67D32324D460BEA75CF4E44B527EE66FE33F5B2D3D4CBCE38653F608E28040E9070977CBEE18942EF0BF6P8J" w:history="1">
        <w:r>
          <w:rPr>
            <w:rFonts w:ascii="Times New Roman" w:hAnsi="Times New Roman" w:eastAsia="Times New Roman" w:cs="Times New Roman"/>
            <w:color w:val="000000" w:themeColor="text1"/>
            <w:szCs w:val="24"/>
            <w:highlight w:val="white"/>
            <w:lang w:val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Cs w:val="24"/>
          <w:highlight w:val="white"/>
          <w:lang w:val="ru-RU"/>
        </w:rPr>
        <w:t xml:space="preserve"> от 24 </w:t>
      </w:r>
      <w:r>
        <w:rPr>
          <w:rFonts w:ascii="Times New Roman" w:hAnsi="Times New Roman" w:eastAsia="Times New Roman" w:cs="Times New Roman"/>
          <w:szCs w:val="24"/>
          <w:highlight w:val="white"/>
          <w:lang w:val="ru-RU"/>
        </w:rPr>
        <w:t xml:space="preserve">июля 2007 года № 209-ФЗ «О развитии малого и среднего предпринимательства в Российской Федерации»;</w:t>
      </w:r>
      <w:r>
        <w:rPr>
          <w:rFonts w:ascii="Times New Roman" w:hAnsi="Times New Roman" w:cs="Times New Roman"/>
          <w:szCs w:val="24"/>
          <w:highlight w:val="white"/>
        </w:rPr>
      </w:r>
      <w:r>
        <w:rPr>
          <w:rFonts w:ascii="Times New Roman" w:hAnsi="Times New Roman" w:cs="Times New Roman"/>
          <w:szCs w:val="24"/>
          <w:highlight w:val="white"/>
        </w:rPr>
      </w:r>
    </w:p>
    <w:p>
      <w:pPr>
        <w:pStyle w:val="755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использовать полученные средства по целевому назначению в строгом соответствии с направлениями затрат, указанными в плане расходов, и оплачивать за счет собственных средств не менее 10 % от размера предоставленного гранта;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использовать грант в течение 12 месяцев со дня поступления гранта на расчетный счет;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4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Cs w:val="24"/>
          <w:highlight w:val="white"/>
        </w:rPr>
      </w:pPr>
      <w:r>
        <w:rPr>
          <w:highlight w:val="white"/>
        </w:rPr>
      </w:r>
      <w:bookmarkStart w:id="11" w:name="_Hlk68535151"/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обеспечить ведение</w:t>
      </w:r>
      <w:bookmarkEnd w:id="11"/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 раздельного учета доходов и расходов сре</w:t>
      </w:r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дств гр</w:t>
      </w:r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анта в соответствии с действующим законодательством и доступ к данной информации;</w:t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</w:p>
    <w:p>
      <w:pPr>
        <w:pStyle w:val="754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обеспечить ведение обособленного аналитического учета операций, осуществляемых за счет гранта;</w:t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</w:p>
    <w:p>
      <w:pPr>
        <w:pStyle w:val="755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создать не менее 1 нового рабочего места (на полную ставку) в течение 12 месяцев со дня поступления гранта на расчетный счет;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осуществлять деятельность и сохранять созданное рабочее место в течение не менее двух лет со дня поступления гранта на расчетный счет.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Грант будет направлен на финансовое обеспечение затрат, указанных в таблице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«План расходов», по указанным направлениям расходов.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Таблица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План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расходов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tbl>
      <w:tblPr>
        <w:tblW w:w="9418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0"/>
        <w:gridCol w:w="3494"/>
        <w:gridCol w:w="991"/>
        <w:gridCol w:w="785"/>
        <w:gridCol w:w="2050"/>
        <w:gridCol w:w="14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vAlign w:val="center"/>
            <w:vMerge w:val="restart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Направления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затрат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Кол-во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vMerge w:val="restart"/>
            <w:textDirection w:val="lrTb"/>
            <w:noWrap w:val="false"/>
          </w:tcPr>
          <w:p>
            <w:pPr>
              <w:pStyle w:val="754"/>
              <w:pBdr/>
              <w:spacing/>
              <w:ind w:left="5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Ориентировочная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цена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./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ед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vMerge w:val="restart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Сумма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Ед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изм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Ед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...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числе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  <w:lang w:val="ru-RU"/>
              </w:rPr>
              <w:t xml:space="preserve">за счет сре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  <w:lang w:val="ru-RU"/>
              </w:rPr>
              <w:t xml:space="preserve">дств гр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  <w:lang w:val="ru-RU"/>
              </w:rPr>
              <w:t xml:space="preserve">анта 90 % затрат, руб., но не более 500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  <w:lang w:val="ru-RU"/>
              </w:rPr>
              <w:t xml:space="preserve">тыс. руб.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  <w:lang w:val="ru-RU"/>
              </w:rPr>
              <w:t xml:space="preserve">за счет собственных средств, но не менее 10 %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от размера предоставленного гранта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  <w:lang w:val="ru-RU"/>
              </w:rPr>
              <w:t xml:space="preserve">, руб.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</w:tbl>
    <w:p>
      <w:pPr>
        <w:pStyle w:val="755"/>
        <w:pBdr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одтверждаю полноту и достоверность сведений, содержащихся в заявке и прилагаемых к ней документах, а также, что на дату подачи заявки: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75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превышает 25 процентов (если иное не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предусмотрено законодательством Российской Федерации).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 (в том  числе со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акционерных обществ;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5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не нахожусь в перечне организаций и физических лиц, в отношении которых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5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не нахожусь в составляемых в рамках реализации полномочий, предусмотренных </w:t>
      </w:r>
      <w:hyperlink r:id="rId54" w:tooltip="https://login.consultant.ru/link/?req=doc&amp;base=LAW&amp;n=121087&amp;dst=10014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white"/>
          </w:rPr>
          <w:t xml:space="preserve">главой VII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Ус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5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не являюсь получателем средства из бюджета Липецкой области на основании иных нормативных правовых актов;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5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не являюсь иностранным агентом в соответствии с Федеральным </w:t>
      </w:r>
      <w:hyperlink r:id="rId55" w:tooltip="https://login.consultant.ru/link/?req=doc&amp;base=LAW&amp;n=452913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whit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от 14 июля 2022 года №255-ФЗ «О контроле за деятельностью лиц, находящихся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иностранным влиянием»;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5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не нахожусь в реестре дисквалифицированных лиц,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75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не нахожусь в процессе реорганизации (за исключением реорганизации в форме присоедине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ния к юридическому лицу, являющемуся получателем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75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отсутствует просроченная задолженность по возврату в областной бюджет Липецкой области иных субсидий, бюджетных инвестиций, а также иная просроченная (неурегулированная) задолженность по денежным обязательствам перед областным бюджетом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756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 соответствии со статьей 9 Федерального закона от 27 июля 2006 года № 152-ФЗ «О персональных данных» даю добровольное согласие управлению экономического развития Липецкой области на обработ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ку, то есть совершение действий, предусмотренных частью 3 статьи 3 Федерального закона от 27 июля 2006 года № 152-ФЗ «О персональных данных», моих персональных данных, указанных в представленных мною документах и необходимых для предоставления мне гранта.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6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Настоящее согласие действует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 даты подписания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и в течение всего срока предоставления указанного гранта.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6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мною в письменной форме.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 результатах конкурса и заключении соглашения прошу уведомить следующим образом: ____________________________________________________________________.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Претендент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________________________(________________________________________)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                                            (подпись)                                                      (Ф.И.О. полностью)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Дата «___» _____________ 20___ г.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4"/>
        <w:pBdr/>
        <w:spacing/>
        <w:ind/>
        <w:jc w:val="both"/>
        <w:rPr>
          <w:rFonts w:ascii="Times New Roman" w:hAnsi="Times New Roman" w:cs="Times New Roman"/>
          <w:color w:val="000000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</w:p>
    <w:p>
      <w:pPr>
        <w:pStyle w:val="754"/>
        <w:pBdr/>
        <w:spacing/>
        <w:ind w:firstLine="567"/>
        <w:jc w:val="center"/>
        <w:rPr>
          <w:rFonts w:ascii="Times New Roman" w:hAnsi="Times New Roman" w:cs="Times New Roman"/>
          <w:color w:val="000000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(линия отреза)</w:t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</w:p>
    <w:p>
      <w:pPr>
        <w:pStyle w:val="755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Заявка и прилагаемые к ней документы на ______ листах приняты должностным лицом управления экономического развития Липецкой области (далее – управление) 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755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                                      (Ф.И.О. должностного лица управления полностью)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755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«__» ___________ 20__ г.  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755"/>
        <w:pBdr/>
        <w:spacing/>
        <w:ind/>
        <w:jc w:val="both"/>
        <w:rPr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                                                 (подпись до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лжностного лица управления)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/>
    </w:p>
    <w:p>
      <w:pPr>
        <w:pStyle w:val="755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755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754"/>
        <w:pBdr/>
        <w:spacing/>
        <w:ind/>
        <w:jc w:val="right"/>
        <w:outlineLvl w:val="1"/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</w:rPr>
        <w:t xml:space="preserve">Приложение 2</w:t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r>
    </w:p>
    <w:p>
      <w:pPr>
        <w:pStyle w:val="754"/>
        <w:pBdr/>
        <w:spacing/>
        <w:ind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</w:rPr>
        <w:t xml:space="preserve">к П</w:t>
      </w:r>
      <w:r>
        <w:rPr>
          <w:highlight w:val="white"/>
          <w:lang w:val="ru-RU"/>
        </w:rPr>
        <w:t xml:space="preserve">орядку предоставлен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</w:rPr>
        <w:t xml:space="preserve">ия гранта «Легкий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</w:rPr>
        <w:t xml:space="preserve"> старт»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  <w14:ligatures w14:val="none"/>
        </w:rPr>
      </w:r>
    </w:p>
    <w:p>
      <w:pPr>
        <w:pStyle w:val="754"/>
        <w:pBdr/>
        <w:spacing/>
        <w:ind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</w:rPr>
        <w:t xml:space="preserve"> в форме субсидий на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</w:rPr>
        <w:t xml:space="preserve">финансовое обеспечение 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</w:rPr>
        <w:t xml:space="preserve">атрат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</w:rPr>
        <w:t xml:space="preserve">начин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shd w:val="clear" w:color="auto" w:fill="81d41a"/>
          <w:lang w:val="ru-RU"/>
        </w:rPr>
        <w:t xml:space="preserve">аю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shd w:val="clear" w:color="auto" w:fill="81d41a"/>
          <w:lang w:val="ru-RU"/>
        </w:rPr>
        <w:t xml:space="preserve">щих</w:t>
      </w:r>
      <w:r>
        <w:rPr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  <w14:ligatures w14:val="none"/>
        </w:rPr>
      </w:r>
    </w:p>
    <w:p>
      <w:pPr>
        <w:pStyle w:val="754"/>
        <w:pBdr/>
        <w:spacing/>
        <w:ind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</w:rPr>
        <w:t xml:space="preserve">субъектов малого предпринимательства (за исключением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  <w14:ligatures w14:val="none"/>
        </w:rPr>
      </w:r>
    </w:p>
    <w:p>
      <w:pPr>
        <w:pStyle w:val="754"/>
        <w:pBdr/>
        <w:spacing/>
        <w:ind/>
        <w:jc w:val="right"/>
        <w:rPr>
          <w:highlight w:val="white"/>
          <w:shd w:val="clear" w:color="auto" w:fill="81d41a"/>
          <w:lang w:val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</w:rPr>
        <w:t xml:space="preserve">производственных кооперати</w:t>
      </w:r>
      <w:r>
        <w:rPr>
          <w:highlight w:val="white"/>
          <w:lang w:val="ru-RU"/>
        </w:rPr>
        <w:t xml:space="preserve">вов, потребительских </w:t>
      </w:r>
      <w:r>
        <w:rPr>
          <w:highlight w:val="white"/>
          <w:shd w:val="clear" w:color="auto" w:fill="81d41a"/>
          <w:lang w:val="ru-RU"/>
          <w14:ligatures w14:val="none"/>
        </w:rPr>
      </w:r>
      <w:r>
        <w:rPr>
          <w:highlight w:val="white"/>
          <w:shd w:val="clear" w:color="auto" w:fill="81d41a"/>
          <w:lang w:val="ru-RU"/>
          <w14:ligatures w14:val="none"/>
        </w:rPr>
      </w:r>
    </w:p>
    <w:p>
      <w:pPr>
        <w:pStyle w:val="754"/>
        <w:pBdr/>
        <w:spacing/>
        <w:ind/>
        <w:jc w:val="right"/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</w:rPr>
        <w:t xml:space="preserve">кооперативов и крестьянских (фермерских)</w:t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r>
    </w:p>
    <w:p>
      <w:pPr>
        <w:pStyle w:val="754"/>
        <w:pBdr/>
        <w:spacing/>
        <w:ind/>
        <w:jc w:val="right"/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</w:rPr>
        <w:t xml:space="preserve">хозяйств), связанных с организацией собственного дела</w:t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r>
    </w:p>
    <w:p>
      <w:pPr>
        <w:pStyle w:val="754"/>
        <w:pBdr/>
        <w:spacing/>
        <w:ind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  <w:lang w:val="ru-RU"/>
        </w:rPr>
        <w:t xml:space="preserve"> по одному из приоритетных направлений деятельности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81d41a"/>
        </w:rPr>
      </w:r>
    </w:p>
    <w:p>
      <w:pPr>
        <w:pStyle w:val="754"/>
        <w:pBdr/>
        <w:spacing/>
        <w:ind/>
        <w:jc w:val="right"/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pP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r>
    </w:p>
    <w:p>
      <w:pPr>
        <w:pStyle w:val="754"/>
        <w:pBdr/>
        <w:spacing/>
        <w:ind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75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Форма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Начальнику управления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экономического развития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Липецкой области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Сведения о регистрации в качестве субъекта малого предпринимательства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(наименование ИП, юридического лица)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Таблица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tbl>
      <w:tblPr>
        <w:tblW w:w="9019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"/>
        <w:gridCol w:w="3747"/>
        <w:gridCol w:w="459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N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сведений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сведений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ОГРНИП/ОГРН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ОКТМО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Место регистрации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(индекс, адрес полностью)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Место нахождения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(индекс, адрес полностью)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ИНН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Платежные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реквизиты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расчетного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счета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банка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ИНН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банка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БИК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банка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Корреспондентский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счет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банка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регистрации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754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</w:tbl>
    <w:p>
      <w:pPr>
        <w:pStyle w:val="75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_____________________________   _____________ (_____________________)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(подпись)               (расшифровка подписи)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(Наименование субъекта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малого предпринимательства)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М.П. (при наличии)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755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Дата «____» _____________ 20____ г.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sectPr>
      <w:footnotePr/>
      <w:endnotePr/>
      <w:type w:val="nextPage"/>
      <w:pgSz w:h="16838" w:orient="portrait" w:w="11906"/>
      <w:pgMar w:top="851" w:right="850" w:bottom="822" w:left="1701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Open Sans">
    <w:panose1 w:val="020B060603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703"/>
    <w:link w:val="69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>
    <w:name w:val="Heading 2 Char"/>
    <w:basedOn w:val="703"/>
    <w:link w:val="69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>
    <w:name w:val="Heading 3 Char"/>
    <w:basedOn w:val="703"/>
    <w:link w:val="69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>
    <w:name w:val="Heading 4 Char"/>
    <w:basedOn w:val="703"/>
    <w:link w:val="69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>
    <w:name w:val="Heading 5 Char"/>
    <w:basedOn w:val="703"/>
    <w:link w:val="69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6 Char"/>
    <w:basedOn w:val="703"/>
    <w:link w:val="69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7 Char"/>
    <w:basedOn w:val="703"/>
    <w:link w:val="70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8 Char"/>
    <w:basedOn w:val="703"/>
    <w:link w:val="70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9 Char"/>
    <w:basedOn w:val="703"/>
    <w:link w:val="70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Title Char"/>
    <w:basedOn w:val="703"/>
    <w:link w:val="741"/>
    <w:uiPriority w:val="10"/>
    <w:pPr>
      <w:pBdr/>
      <w:spacing/>
      <w:ind/>
    </w:pPr>
    <w:rPr>
      <w:sz w:val="48"/>
      <w:szCs w:val="48"/>
    </w:rPr>
  </w:style>
  <w:style w:type="character" w:styleId="676">
    <w:name w:val="Subtitle Char"/>
    <w:basedOn w:val="703"/>
    <w:link w:val="742"/>
    <w:uiPriority w:val="11"/>
    <w:pPr>
      <w:pBdr/>
      <w:spacing/>
      <w:ind/>
    </w:pPr>
    <w:rPr>
      <w:sz w:val="24"/>
      <w:szCs w:val="24"/>
    </w:rPr>
  </w:style>
  <w:style w:type="character" w:styleId="677">
    <w:name w:val="Quote Char"/>
    <w:link w:val="743"/>
    <w:uiPriority w:val="29"/>
    <w:pPr>
      <w:pBdr/>
      <w:spacing/>
      <w:ind/>
    </w:pPr>
    <w:rPr>
      <w:i/>
    </w:rPr>
  </w:style>
  <w:style w:type="character" w:styleId="678">
    <w:name w:val="Intense Quote Char"/>
    <w:link w:val="744"/>
    <w:uiPriority w:val="30"/>
    <w:pPr>
      <w:pBdr/>
      <w:spacing/>
      <w:ind/>
    </w:pPr>
    <w:rPr>
      <w:i/>
    </w:rPr>
  </w:style>
  <w:style w:type="character" w:styleId="679">
    <w:name w:val="Header Char"/>
    <w:basedOn w:val="703"/>
    <w:link w:val="746"/>
    <w:uiPriority w:val="99"/>
    <w:pPr>
      <w:pBdr/>
      <w:spacing/>
      <w:ind/>
    </w:pPr>
  </w:style>
  <w:style w:type="character" w:styleId="680">
    <w:name w:val="Footer Char"/>
    <w:basedOn w:val="703"/>
    <w:link w:val="747"/>
    <w:uiPriority w:val="99"/>
    <w:pPr>
      <w:pBdr/>
      <w:spacing/>
      <w:ind/>
    </w:pPr>
  </w:style>
  <w:style w:type="character" w:styleId="681">
    <w:name w:val="Caption Char"/>
    <w:basedOn w:val="739"/>
    <w:link w:val="747"/>
    <w:uiPriority w:val="99"/>
    <w:pPr>
      <w:pBdr/>
      <w:spacing/>
      <w:ind/>
    </w:pPr>
  </w:style>
  <w:style w:type="character" w:styleId="682">
    <w:name w:val="Footnote Text Char"/>
    <w:link w:val="748"/>
    <w:uiPriority w:val="99"/>
    <w:pPr>
      <w:pBdr/>
      <w:spacing/>
      <w:ind/>
    </w:pPr>
    <w:rPr>
      <w:sz w:val="18"/>
    </w:rPr>
  </w:style>
  <w:style w:type="character" w:styleId="683">
    <w:name w:val="Endnote Text Char"/>
    <w:link w:val="749"/>
    <w:uiPriority w:val="99"/>
    <w:pPr>
      <w:pBdr/>
      <w:spacing/>
      <w:ind/>
    </w:pPr>
    <w:rPr>
      <w:sz w:val="20"/>
    </w:rPr>
  </w:style>
  <w:style w:type="paragraph" w:styleId="684">
    <w:name w:val="toc 1"/>
    <w:basedOn w:val="693"/>
    <w:next w:val="693"/>
    <w:uiPriority w:val="39"/>
    <w:unhideWhenUsed/>
    <w:pPr>
      <w:pBdr/>
      <w:spacing w:after="57"/>
      <w:ind w:right="0" w:firstLine="0" w:left="0"/>
    </w:pPr>
  </w:style>
  <w:style w:type="paragraph" w:styleId="685">
    <w:name w:val="toc 2"/>
    <w:basedOn w:val="693"/>
    <w:next w:val="693"/>
    <w:uiPriority w:val="39"/>
    <w:unhideWhenUsed/>
    <w:pPr>
      <w:pBdr/>
      <w:spacing w:after="57"/>
      <w:ind w:right="0" w:firstLine="0" w:left="283"/>
    </w:pPr>
  </w:style>
  <w:style w:type="paragraph" w:styleId="686">
    <w:name w:val="toc 3"/>
    <w:basedOn w:val="693"/>
    <w:next w:val="693"/>
    <w:uiPriority w:val="39"/>
    <w:unhideWhenUsed/>
    <w:pPr>
      <w:pBdr/>
      <w:spacing w:after="57"/>
      <w:ind w:right="0" w:firstLine="0" w:left="567"/>
    </w:pPr>
  </w:style>
  <w:style w:type="paragraph" w:styleId="687">
    <w:name w:val="toc 4"/>
    <w:basedOn w:val="693"/>
    <w:next w:val="693"/>
    <w:uiPriority w:val="39"/>
    <w:unhideWhenUsed/>
    <w:pPr>
      <w:pBdr/>
      <w:spacing w:after="57"/>
      <w:ind w:right="0" w:firstLine="0" w:left="850"/>
    </w:pPr>
  </w:style>
  <w:style w:type="paragraph" w:styleId="688">
    <w:name w:val="toc 5"/>
    <w:basedOn w:val="693"/>
    <w:next w:val="693"/>
    <w:uiPriority w:val="39"/>
    <w:unhideWhenUsed/>
    <w:pPr>
      <w:pBdr/>
      <w:spacing w:after="57"/>
      <w:ind w:right="0" w:firstLine="0" w:left="1134"/>
    </w:pPr>
  </w:style>
  <w:style w:type="paragraph" w:styleId="689">
    <w:name w:val="toc 6"/>
    <w:basedOn w:val="693"/>
    <w:next w:val="693"/>
    <w:uiPriority w:val="39"/>
    <w:unhideWhenUsed/>
    <w:pPr>
      <w:pBdr/>
      <w:spacing w:after="57"/>
      <w:ind w:right="0" w:firstLine="0" w:left="1417"/>
    </w:pPr>
  </w:style>
  <w:style w:type="paragraph" w:styleId="690">
    <w:name w:val="toc 7"/>
    <w:basedOn w:val="693"/>
    <w:next w:val="693"/>
    <w:uiPriority w:val="39"/>
    <w:unhideWhenUsed/>
    <w:pPr>
      <w:pBdr/>
      <w:spacing w:after="57"/>
      <w:ind w:right="0" w:firstLine="0" w:left="1701"/>
    </w:pPr>
  </w:style>
  <w:style w:type="paragraph" w:styleId="691">
    <w:name w:val="toc 8"/>
    <w:basedOn w:val="693"/>
    <w:next w:val="693"/>
    <w:uiPriority w:val="39"/>
    <w:unhideWhenUsed/>
    <w:pPr>
      <w:pBdr/>
      <w:spacing w:after="57"/>
      <w:ind w:right="0" w:firstLine="0" w:left="1984"/>
    </w:pPr>
  </w:style>
  <w:style w:type="paragraph" w:styleId="692">
    <w:name w:val="toc 9"/>
    <w:basedOn w:val="693"/>
    <w:next w:val="693"/>
    <w:uiPriority w:val="39"/>
    <w:unhideWhenUsed/>
    <w:pPr>
      <w:pBdr/>
      <w:spacing w:after="57"/>
      <w:ind w:right="0" w:firstLine="0" w:left="2268"/>
    </w:pPr>
  </w:style>
  <w:style w:type="paragraph" w:styleId="693" w:default="1">
    <w:name w:val="Normal"/>
    <w:qFormat/>
    <w:pPr>
      <w:pBdr/>
      <w:spacing w:after="200" w:line="276" w:lineRule="auto"/>
      <w:ind/>
    </w:pPr>
  </w:style>
  <w:style w:type="paragraph" w:styleId="694">
    <w:name w:val="Heading 1"/>
    <w:basedOn w:val="693"/>
    <w:next w:val="693"/>
    <w:link w:val="70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695">
    <w:name w:val="Heading 2"/>
    <w:basedOn w:val="693"/>
    <w:next w:val="693"/>
    <w:link w:val="70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696">
    <w:name w:val="Heading 3"/>
    <w:basedOn w:val="693"/>
    <w:next w:val="693"/>
    <w:link w:val="70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697">
    <w:name w:val="Heading 4"/>
    <w:basedOn w:val="693"/>
    <w:next w:val="693"/>
    <w:link w:val="70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698">
    <w:name w:val="Heading 5"/>
    <w:basedOn w:val="693"/>
    <w:next w:val="693"/>
    <w:link w:val="71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699">
    <w:name w:val="Heading 6"/>
    <w:basedOn w:val="693"/>
    <w:next w:val="693"/>
    <w:link w:val="71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00">
    <w:name w:val="Heading 7"/>
    <w:basedOn w:val="693"/>
    <w:next w:val="693"/>
    <w:link w:val="71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01">
    <w:name w:val="Heading 8"/>
    <w:basedOn w:val="693"/>
    <w:next w:val="693"/>
    <w:link w:val="71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02">
    <w:name w:val="Heading 9"/>
    <w:basedOn w:val="693"/>
    <w:next w:val="693"/>
    <w:link w:val="71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03" w:default="1">
    <w:name w:val="Default Paragraph Font"/>
    <w:uiPriority w:val="1"/>
    <w:semiHidden/>
    <w:unhideWhenUsed/>
    <w:pPr>
      <w:pBdr/>
      <w:spacing/>
      <w:ind/>
    </w:pPr>
  </w:style>
  <w:style w:type="table" w:styleId="70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5" w:default="1">
    <w:name w:val="No List"/>
    <w:uiPriority w:val="99"/>
    <w:semiHidden/>
    <w:unhideWhenUsed/>
    <w:pPr>
      <w:pBdr/>
      <w:spacing/>
      <w:ind/>
    </w:pPr>
  </w:style>
  <w:style w:type="character" w:styleId="706" w:customStyle="1">
    <w:name w:val="Заголовок 1 Знак"/>
    <w:basedOn w:val="703"/>
    <w:link w:val="694"/>
    <w:uiPriority w:val="9"/>
    <w:qFormat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707" w:customStyle="1">
    <w:name w:val="Заголовок 2 Знак"/>
    <w:basedOn w:val="703"/>
    <w:link w:val="695"/>
    <w:uiPriority w:val="9"/>
    <w:qFormat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708" w:customStyle="1">
    <w:name w:val="Заголовок 3 Знак"/>
    <w:basedOn w:val="703"/>
    <w:link w:val="696"/>
    <w:uiPriority w:val="9"/>
    <w:qFormat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709" w:customStyle="1">
    <w:name w:val="Заголовок 4 Знак"/>
    <w:basedOn w:val="703"/>
    <w:link w:val="697"/>
    <w:uiPriority w:val="9"/>
    <w:qFormat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710" w:customStyle="1">
    <w:name w:val="Заголовок 5 Знак"/>
    <w:basedOn w:val="703"/>
    <w:link w:val="698"/>
    <w:uiPriority w:val="9"/>
    <w:qFormat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711" w:customStyle="1">
    <w:name w:val="Заголовок 6 Знак"/>
    <w:basedOn w:val="703"/>
    <w:link w:val="699"/>
    <w:uiPriority w:val="9"/>
    <w:qFormat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12" w:customStyle="1">
    <w:name w:val="Заголовок 7 Знак"/>
    <w:basedOn w:val="703"/>
    <w:link w:val="700"/>
    <w:uiPriority w:val="9"/>
    <w:qFormat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13" w:customStyle="1">
    <w:name w:val="Заголовок 8 Знак"/>
    <w:basedOn w:val="703"/>
    <w:link w:val="701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14" w:customStyle="1">
    <w:name w:val="Заголовок 9 Знак"/>
    <w:basedOn w:val="703"/>
    <w:link w:val="702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15" w:customStyle="1">
    <w:name w:val="Название Знак"/>
    <w:basedOn w:val="703"/>
    <w:link w:val="741"/>
    <w:uiPriority w:val="10"/>
    <w:qFormat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16" w:customStyle="1">
    <w:name w:val="Подзаголовок Знак"/>
    <w:basedOn w:val="703"/>
    <w:link w:val="742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17" w:customStyle="1">
    <w:name w:val="Цитата 2 Знак"/>
    <w:basedOn w:val="703"/>
    <w:link w:val="743"/>
    <w:uiPriority w:val="29"/>
    <w:qFormat/>
    <w:pPr>
      <w:pBdr/>
      <w:spacing/>
      <w:ind/>
    </w:pPr>
    <w:rPr>
      <w:i/>
      <w:iCs/>
      <w:color w:val="404040" w:themeColor="text1" w:themeTint="BF"/>
    </w:rPr>
  </w:style>
  <w:style w:type="character" w:styleId="718">
    <w:name w:val="Intense Emphasis"/>
    <w:basedOn w:val="703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character" w:styleId="719" w:customStyle="1">
    <w:name w:val="Выделенная цитата Знак"/>
    <w:basedOn w:val="703"/>
    <w:link w:val="744"/>
    <w:uiPriority w:val="30"/>
    <w:qFormat/>
    <w:pPr>
      <w:pBdr/>
      <w:spacing/>
      <w:ind/>
    </w:pPr>
    <w:rPr>
      <w:i/>
      <w:iCs/>
      <w:color w:val="2e74b5" w:themeColor="accent1" w:themeShade="BF"/>
    </w:rPr>
  </w:style>
  <w:style w:type="character" w:styleId="720">
    <w:name w:val="Intense Reference"/>
    <w:basedOn w:val="703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721">
    <w:name w:val="Subtle Emphasis"/>
    <w:basedOn w:val="70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2">
    <w:name w:val="Emphasis"/>
    <w:basedOn w:val="703"/>
    <w:uiPriority w:val="20"/>
    <w:qFormat/>
    <w:pPr>
      <w:pBdr/>
      <w:spacing/>
      <w:ind/>
    </w:pPr>
    <w:rPr>
      <w:i/>
      <w:iCs/>
    </w:rPr>
  </w:style>
  <w:style w:type="character" w:styleId="723">
    <w:name w:val="Strong"/>
    <w:basedOn w:val="703"/>
    <w:uiPriority w:val="22"/>
    <w:qFormat/>
    <w:pPr>
      <w:pBdr/>
      <w:spacing/>
      <w:ind/>
    </w:pPr>
    <w:rPr>
      <w:b/>
      <w:bCs/>
    </w:rPr>
  </w:style>
  <w:style w:type="character" w:styleId="724">
    <w:name w:val="Subtle Reference"/>
    <w:basedOn w:val="70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5">
    <w:name w:val="Book Title"/>
    <w:basedOn w:val="70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6" w:customStyle="1">
    <w:name w:val="Верхний колонтитул Знак"/>
    <w:basedOn w:val="703"/>
    <w:link w:val="746"/>
    <w:uiPriority w:val="99"/>
    <w:qFormat/>
    <w:pPr>
      <w:pBdr/>
      <w:spacing/>
      <w:ind/>
    </w:pPr>
  </w:style>
  <w:style w:type="character" w:styleId="727" w:customStyle="1">
    <w:name w:val="Нижний колонтитул Знак"/>
    <w:basedOn w:val="703"/>
    <w:link w:val="747"/>
    <w:uiPriority w:val="99"/>
    <w:qFormat/>
    <w:pPr>
      <w:pBdr/>
      <w:spacing/>
      <w:ind/>
    </w:pPr>
  </w:style>
  <w:style w:type="character" w:styleId="728" w:customStyle="1">
    <w:name w:val="Текст сноски Знак"/>
    <w:basedOn w:val="703"/>
    <w:link w:val="748"/>
    <w:uiPriority w:val="99"/>
    <w:semiHidden/>
    <w:qFormat/>
    <w:pPr>
      <w:pBdr/>
      <w:spacing/>
      <w:ind/>
    </w:pPr>
    <w:rPr>
      <w:sz w:val="20"/>
      <w:szCs w:val="20"/>
    </w:rPr>
  </w:style>
  <w:style w:type="character" w:styleId="729" w:customStyle="1">
    <w:name w:val="Символ сноски"/>
    <w:basedOn w:val="703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30">
    <w:name w:val="footnote reference"/>
    <w:pPr>
      <w:pBdr/>
      <w:spacing/>
      <w:ind/>
    </w:pPr>
    <w:rPr>
      <w:vertAlign w:val="superscript"/>
    </w:rPr>
  </w:style>
  <w:style w:type="character" w:styleId="731" w:customStyle="1">
    <w:name w:val="Текст концевой сноски Знак"/>
    <w:basedOn w:val="703"/>
    <w:link w:val="749"/>
    <w:uiPriority w:val="99"/>
    <w:semiHidden/>
    <w:qFormat/>
    <w:pPr>
      <w:pBdr/>
      <w:spacing/>
      <w:ind/>
    </w:pPr>
    <w:rPr>
      <w:sz w:val="20"/>
      <w:szCs w:val="20"/>
    </w:rPr>
  </w:style>
  <w:style w:type="character" w:styleId="732" w:customStyle="1">
    <w:name w:val="Символ концевой сноски"/>
    <w:basedOn w:val="703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33">
    <w:name w:val="endnote reference"/>
    <w:pPr>
      <w:pBdr/>
      <w:spacing/>
      <w:ind/>
    </w:pPr>
    <w:rPr>
      <w:vertAlign w:val="superscript"/>
    </w:rPr>
  </w:style>
  <w:style w:type="character" w:styleId="734">
    <w:name w:val="Hyperlink"/>
    <w:basedOn w:val="70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735">
    <w:name w:val="FollowedHyperlink"/>
    <w:basedOn w:val="70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36" w:customStyle="1">
    <w:name w:val="Заголовок"/>
    <w:basedOn w:val="693"/>
    <w:next w:val="737"/>
    <w:qFormat/>
    <w:pPr>
      <w:keepNext w:val="true"/>
      <w:pBdr/>
      <w:spacing w:after="120" w:before="240"/>
      <w:ind/>
    </w:pPr>
    <w:rPr>
      <w:rFonts w:ascii="Open Sans" w:hAnsi="Open Sans" w:eastAsia="Tahoma" w:cs="Lohit Devanagari"/>
      <w:sz w:val="28"/>
      <w:szCs w:val="28"/>
    </w:rPr>
  </w:style>
  <w:style w:type="paragraph" w:styleId="737">
    <w:name w:val="Body Text"/>
    <w:basedOn w:val="693"/>
    <w:pPr>
      <w:pBdr/>
      <w:spacing w:after="140"/>
      <w:ind/>
    </w:pPr>
  </w:style>
  <w:style w:type="paragraph" w:styleId="738">
    <w:name w:val="List"/>
    <w:basedOn w:val="737"/>
    <w:pPr>
      <w:pBdr/>
      <w:spacing/>
      <w:ind/>
    </w:pPr>
    <w:rPr>
      <w:rFonts w:cs="Lohit Devanagari"/>
    </w:rPr>
  </w:style>
  <w:style w:type="paragraph" w:styleId="739">
    <w:name w:val="Caption"/>
    <w:basedOn w:val="693"/>
    <w:next w:val="693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740">
    <w:name w:val="index heading"/>
    <w:basedOn w:val="736"/>
    <w:pPr>
      <w:pBdr/>
      <w:spacing/>
      <w:ind/>
    </w:pPr>
  </w:style>
  <w:style w:type="paragraph" w:styleId="741">
    <w:name w:val="Title"/>
    <w:basedOn w:val="693"/>
    <w:next w:val="693"/>
    <w:link w:val="71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paragraph" w:styleId="742">
    <w:name w:val="Subtitle"/>
    <w:basedOn w:val="693"/>
    <w:next w:val="693"/>
    <w:link w:val="716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743">
    <w:name w:val="Quote"/>
    <w:basedOn w:val="693"/>
    <w:next w:val="693"/>
    <w:link w:val="71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paragraph" w:styleId="744">
    <w:name w:val="Intense Quote"/>
    <w:basedOn w:val="693"/>
    <w:next w:val="693"/>
    <w:link w:val="719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paragraph" w:styleId="745" w:customStyle="1">
    <w:name w:val="Колонтитул"/>
    <w:basedOn w:val="693"/>
    <w:qFormat/>
    <w:pPr>
      <w:pBdr/>
      <w:spacing/>
      <w:ind/>
    </w:pPr>
  </w:style>
  <w:style w:type="paragraph" w:styleId="746">
    <w:name w:val="Header"/>
    <w:basedOn w:val="693"/>
    <w:link w:val="72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paragraph" w:styleId="747">
    <w:name w:val="Footer"/>
    <w:basedOn w:val="693"/>
    <w:link w:val="7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paragraph" w:styleId="748">
    <w:name w:val="footnote text"/>
    <w:basedOn w:val="693"/>
    <w:link w:val="72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paragraph" w:styleId="749">
    <w:name w:val="endnote text"/>
    <w:basedOn w:val="693"/>
    <w:link w:val="73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paragraph" w:styleId="750">
    <w:name w:val="TOC Heading"/>
    <w:uiPriority w:val="39"/>
    <w:unhideWhenUsed/>
    <w:qFormat/>
    <w:pPr>
      <w:pBdr/>
      <w:spacing w:after="200" w:line="276" w:lineRule="auto"/>
      <w:ind/>
    </w:pPr>
  </w:style>
  <w:style w:type="paragraph" w:styleId="751">
    <w:name w:val="table of figures"/>
    <w:basedOn w:val="693"/>
    <w:next w:val="693"/>
    <w:uiPriority w:val="99"/>
    <w:unhideWhenUsed/>
    <w:pPr>
      <w:pBdr/>
      <w:spacing w:after="0"/>
      <w:ind/>
    </w:pPr>
  </w:style>
  <w:style w:type="paragraph" w:styleId="752">
    <w:name w:val="No Spacing"/>
    <w:basedOn w:val="693"/>
    <w:uiPriority w:val="1"/>
    <w:qFormat/>
    <w:pPr>
      <w:pBdr/>
      <w:spacing w:after="0" w:line="240" w:lineRule="auto"/>
      <w:ind/>
    </w:pPr>
  </w:style>
  <w:style w:type="paragraph" w:styleId="753">
    <w:name w:val="List Paragraph"/>
    <w:basedOn w:val="693"/>
    <w:uiPriority w:val="34"/>
    <w:qFormat/>
    <w:pPr>
      <w:pBdr/>
      <w:spacing/>
      <w:ind w:left="720"/>
      <w:contextualSpacing w:val="true"/>
    </w:pPr>
  </w:style>
  <w:style w:type="paragraph" w:styleId="754" w:customStyle="1">
    <w:name w:val="ConsPlusNormal"/>
    <w:qFormat/>
    <w:pPr>
      <w:pBdr/>
      <w:spacing/>
      <w:ind/>
    </w:pPr>
    <w:rPr>
      <w:rFonts w:ascii="TimesNewRoman" w:hAnsi="TimesNewRoman" w:eastAsia="TimesNewRoman" w:cs="TimesNewRoman"/>
      <w:sz w:val="24"/>
      <w:szCs w:val="20"/>
      <w:lang w:val="en-US" w:eastAsia="zh-CN"/>
    </w:rPr>
  </w:style>
  <w:style w:type="paragraph" w:styleId="755" w:customStyle="1">
    <w:name w:val="ConsPlusNonformat"/>
    <w:qFormat/>
    <w:pPr>
      <w:widowControl w:val="false"/>
      <w:pBdr/>
      <w:spacing/>
      <w:ind/>
    </w:pPr>
    <w:rPr>
      <w:rFonts w:ascii="Courier New" w:hAnsi="Courier New" w:eastAsia="Tahoma" w:cs="Courier New"/>
      <w:sz w:val="20"/>
      <w:szCs w:val="20"/>
      <w:lang w:eastAsia="ru-RU"/>
    </w:rPr>
  </w:style>
  <w:style w:type="paragraph" w:styleId="756" w:customStyle="1">
    <w:name w:val="Стандартный HTML1"/>
    <w:uiPriority w:val="99"/>
    <w:semiHidden/>
    <w:unhideWhenUsed/>
    <w:qFormat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eastAsia="Tahoma" w:cs="Courier New"/>
      <w:sz w:val="20"/>
      <w:szCs w:val="20"/>
      <w:lang w:eastAsia="ru-RU"/>
    </w:rPr>
  </w:style>
  <w:style w:type="paragraph" w:styleId="757" w:customStyle="1">
    <w:name w:val="Стандартный HTML2"/>
    <w:uiPriority w:val="99"/>
    <w:semiHidden/>
    <w:unhideWhenUsed/>
    <w:qFormat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758">
    <w:name w:val="Table Grid"/>
    <w:basedOn w:val="70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Table Grid Light"/>
    <w:basedOn w:val="70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Plain Table 1"/>
    <w:basedOn w:val="70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Plain Table 2"/>
    <w:basedOn w:val="70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Plain Table 3"/>
    <w:basedOn w:val="704"/>
    <w:uiPriority w:val="9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4"/>
    <w:basedOn w:val="704"/>
    <w:uiPriority w:val="9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5"/>
    <w:basedOn w:val="704"/>
    <w:uiPriority w:val="9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ed7d31" w:themeColor="accent2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a5a5a5" w:themeColor="accent3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ffc000" w:themeColor="accent4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1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2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3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4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5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6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1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2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3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4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5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6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1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2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3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4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5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6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2Horz">
      <w:rPr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Horz">
      <w:rPr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1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2Horz">
      <w:rPr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2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3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Horz">
      <w:rPr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4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5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6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Horz">
      <w:rPr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"/>
    <w:basedOn w:val="704"/>
    <w:uiPriority w:val="9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1"/>
    <w:basedOn w:val="704"/>
    <w:uiPriority w:val="9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2"/>
    <w:basedOn w:val="704"/>
    <w:uiPriority w:val="9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3"/>
    <w:basedOn w:val="704"/>
    <w:uiPriority w:val="9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4"/>
    <w:basedOn w:val="704"/>
    <w:uiPriority w:val="9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5"/>
    <w:basedOn w:val="704"/>
    <w:uiPriority w:val="9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6"/>
    <w:basedOn w:val="704"/>
    <w:uiPriority w:val="9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da9db" w:themeFill="accent5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9d08e" w:themeFill="accent6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2Horz">
      <w:rPr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rPr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2Horz">
      <w:rPr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2Horz">
      <w:rPr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1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2Horz">
      <w:rPr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2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3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rPr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4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5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2Horz">
      <w:rPr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6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2Horz">
      <w:rPr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"/>
    <w:basedOn w:val="704"/>
    <w:uiPriority w:val="9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1"/>
    <w:basedOn w:val="704"/>
    <w:uiPriority w:val="9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bdff1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bdff1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2"/>
    <w:basedOn w:val="704"/>
    <w:uiPriority w:val="9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3"/>
    <w:basedOn w:val="704"/>
    <w:uiPriority w:val="9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4"/>
    <w:basedOn w:val="704"/>
    <w:uiPriority w:val="9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5"/>
    <w:basedOn w:val="704"/>
    <w:uiPriority w:val="9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6"/>
    <w:basedOn w:val="704"/>
    <w:uiPriority w:val="9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bdff1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bdff1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ed7d31" w:themeColor="accent2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ed7d31" w:themeColor="accent2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a5a5a5" w:themeColor="accent3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a5a5a5" w:themeColor="accent3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ffc000" w:themeColor="accent4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ffc000" w:themeColor="accent4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5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70ad47" w:themeColor="accent6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4">
    <w:name w:val="Balloon Text"/>
    <w:basedOn w:val="693"/>
    <w:link w:val="885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703"/>
    <w:link w:val="88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login.consultant.ru/link/?req=doc&amp;base=RLAW220&amp;n=134102&amp;dst=101561" TargetMode="External"/><Relationship Id="rId10" Type="http://schemas.openxmlformats.org/officeDocument/2006/relationships/hyperlink" Target="http://budget.gov.ru/" TargetMode="External"/><Relationship Id="rId11" Type="http://schemas.openxmlformats.org/officeDocument/2006/relationships/hyperlink" Target="https://&#1101;&#1082;&#1086;&#1085;&#1086;&#1084;&#1080;&#1082;&#1072;.&#1083;&#1080;&#1087;&#1077;&#1094;&#1082;&#1072;&#1103;&#1086;&#1073;&#1083;&#1072;&#1089;&#1090;&#1100;.&#1088;&#1092;/" TargetMode="External"/><Relationship Id="rId12" Type="http://schemas.openxmlformats.org/officeDocument/2006/relationships/hyperlink" Target="consultantplus://offline/ref=01DB43AF7C0C72892532F5DFF29490888E1A575DFD2119A6E9B179B3EE2DB76696F7F3C43954F41784B6F9CE1653D7C8B962B19EEE3B1524BCxEI" TargetMode="External"/><Relationship Id="rId13" Type="http://schemas.openxmlformats.org/officeDocument/2006/relationships/hyperlink" Target="consultantplus://offline/ref=01DB43AF7C0C72892532F5DFF29490888B1A565FF62619A6E9B179B3EE2DB76696F7F3C43954F51286B6F9CE1653D7C8B962B19EEE3B1524BCxEI" TargetMode="External"/><Relationship Id="rId14" Type="http://schemas.openxmlformats.org/officeDocument/2006/relationships/hyperlink" Target="consultantplus://offline/ref=01DB43AF7C0C72892532F5DFF29490888E1D5556FF2219A6E9B179B3EE2DB76684F7ABC83B5DEA1785A3AF9F50B0x5I" TargetMode="External"/><Relationship Id="rId15" Type="http://schemas.openxmlformats.org/officeDocument/2006/relationships/hyperlink" Target="https://login.consultant.ru/link/?req=doc&amp;base=LAW&amp;n=472841&amp;date=06.06.2024&amp;dst=5769&amp;field=134" TargetMode="External"/><Relationship Id="rId16" Type="http://schemas.openxmlformats.org/officeDocument/2006/relationships/hyperlink" Target="https://login.consultant.ru/link/?req=doc&amp;base=LAW&amp;n=472841&amp;date=06.06.2024&amp;dst=5769&amp;field=134" TargetMode="External"/><Relationship Id="rId17" Type="http://schemas.openxmlformats.org/officeDocument/2006/relationships/hyperlink" Target="consultantplus://offline/ref=EFDA7DF67D32324D460BEA75CF4E44B527EE66FE33F5B2D3D4CBCE38653F608E28040E9070977CBEE18942EF0BF6P8J" TargetMode="External"/><Relationship Id="rId18" Type="http://schemas.openxmlformats.org/officeDocument/2006/relationships/hyperlink" Target="consultantplus://offline/ref=EFDA7DF67D32324D460BEA75CF4E44B527EE6EF133F9B2D3D4CBCE38653F608E28040E9070977CBEE18942EF0BF6P8J" TargetMode="External"/><Relationship Id="rId19" Type="http://schemas.openxmlformats.org/officeDocument/2006/relationships/hyperlink" Target="https://login.consultant.ru/link/?req=doc&amp;base=LAW&amp;n=468900&amp;dst=100133" TargetMode="External"/><Relationship Id="rId20" Type="http://schemas.openxmlformats.org/officeDocument/2006/relationships/hyperlink" Target="https://login.consultant.ru/link/?req=doc&amp;base=LAW&amp;n=468900&amp;dst=103016" TargetMode="External"/><Relationship Id="rId21" Type="http://schemas.openxmlformats.org/officeDocument/2006/relationships/hyperlink" Target="consultantplus://offline/ref=EFDA7DF67D32324D460BEA75CF4E44B527EE6EF133F9B2D3D4CBCE38653F608E28040E9070977CBEE18942EF0BF6P8J" TargetMode="External"/><Relationship Id="rId22" Type="http://schemas.openxmlformats.org/officeDocument/2006/relationships/hyperlink" Target="consultantplus://offline/ref=EFDA7DF67D32324D460BEA75CF4E44B527EE6EF133F9B2D3D4CBCE38653F608E3A04569C729065BFE29C14BE4D3E7FAC417424425093E39AF8P4J" TargetMode="External"/><Relationship Id="rId23" Type="http://schemas.openxmlformats.org/officeDocument/2006/relationships/hyperlink" Target="consultantplus://offline/ref=EFDA7DF67D32324D460BEA75CF4E44B527EE6EF133F9B2D3D4CBCE38653F608E3A04569C72926ABBE09C14BE4D3E7FAC417424425093E39AF8P4J" TargetMode="External"/><Relationship Id="rId24" Type="http://schemas.openxmlformats.org/officeDocument/2006/relationships/hyperlink" Target="consultantplus://offline/ref=EFDA7DF67D32324D460BEA75CF4E44B527EE6EF133F9B2D3D4CBCE38653F608E3A04569C72926ABBE49C14BE4D3E7FAC417424425093E39AF8P4J" TargetMode="External"/><Relationship Id="rId25" Type="http://schemas.openxmlformats.org/officeDocument/2006/relationships/hyperlink" Target="consultantplus://offline/ref=EFDA7DF67D32324D460BEA75CF4E44B527EE6EF133F9B2D3D4CBCE38653F608E3A04569C72926AB8E29C14BE4D3E7FAC417424425093E39AF8P4J" TargetMode="External"/><Relationship Id="rId26" Type="http://schemas.openxmlformats.org/officeDocument/2006/relationships/hyperlink" Target="consultantplus://offline/ref=EFDA7DF67D32324D460BEA75CF4E44B527EE6EF133F9B2D3D4CBCE38653F608E3A04569C729367B8E69C14BE4D3E7FAC417424425093E39AF8P4J" TargetMode="External"/><Relationship Id="rId27" Type="http://schemas.openxmlformats.org/officeDocument/2006/relationships/hyperlink" Target="consultantplus://offline/ref=EFDA7DF67D32324D460BEA75CF4E44B527EE6EF133F9B2D3D4CBCE38653F608E3A04569C729461BFE19C14BE4D3E7FAC417424425093E39AF8P4J" TargetMode="External"/><Relationship Id="rId28" Type="http://schemas.openxmlformats.org/officeDocument/2006/relationships/hyperlink" Target="consultantplus://offline/ref=EFDA7DF67D32324D460BEA75CF4E44B527EE6EF133F9B2D3D4CBCE38653F608E3A04569C729461BFEB9C14BE4D3E7FAC417424425093E39AF8P4J" TargetMode="External"/><Relationship Id="rId29" Type="http://schemas.openxmlformats.org/officeDocument/2006/relationships/hyperlink" Target="consultantplus://offline/ref=EFDA7DF67D32324D460BEA75CF4E44B527EE6EF133F9B2D3D4CBCE38653F608E3A04569C729461BDE09C14BE4D3E7FAC417424425093E39AF8P4J" TargetMode="External"/><Relationship Id="rId30" Type="http://schemas.openxmlformats.org/officeDocument/2006/relationships/hyperlink" Target="consultantplus://offline/ref=EFDA7DF67D32324D460BEA75CF4E44B527EE6EF133F9B2D3D4CBCE38653F608E3A04569C729461BDE49C14BE4D3E7FAC417424425093E39AF8P4J" TargetMode="External"/><Relationship Id="rId31" Type="http://schemas.openxmlformats.org/officeDocument/2006/relationships/hyperlink" Target="consultantplus://offline/ref=EFDA7DF67D32324D460BEA75CF4E44B527EE6EF133F9B2D3D4CBCE38653F608E3A04569C729461BAE09C14BE4D3E7FAC417424425093E39AF8P4J" TargetMode="External"/><Relationship Id="rId32" Type="http://schemas.openxmlformats.org/officeDocument/2006/relationships/hyperlink" Target="consultantplus://offline/ref=EFDA7DF67D32324D460BEA75CF4E44B527EE6EF133F9B2D3D4CBCE38653F608E3A04569C729466BCE39C14BE4D3E7FAC417424425093E39AF8P4J" TargetMode="External"/><Relationship Id="rId33" Type="http://schemas.openxmlformats.org/officeDocument/2006/relationships/hyperlink" Target="consultantplus://offline/ref=EFDA7DF67D32324D460BEA75CF4E44B527EE6EF133F9B2D3D4CBCE38653F608E3A04569C729466B7EB9C14BE4D3E7FAC417424425093E39AF8P4J" TargetMode="External"/><Relationship Id="rId34" Type="http://schemas.openxmlformats.org/officeDocument/2006/relationships/hyperlink" Target="consultantplus://offline/ref=EFDA7DF67D32324D460BEA75CF4E44B527EE6EF133F9B2D3D4CBCE38653F608E3A04569C729467BCEA9C14BE4D3E7FAC417424425093E39AF8P4J" TargetMode="External"/><Relationship Id="rId35" Type="http://schemas.openxmlformats.org/officeDocument/2006/relationships/hyperlink" Target="consultantplus://offline/ref=EFDA7DF67D32324D460BEA75CF4E44B527EE6EF133F9B2D3D4CBCE38653F608E3A04569C729561BDE09C14BE4D3E7FAC417424425093E39AF8P4J" TargetMode="External"/><Relationship Id="rId36" Type="http://schemas.openxmlformats.org/officeDocument/2006/relationships/hyperlink" Target="consultantplus://offline/ref=EFDA7DF67D32324D460BEA75CF4E44B527EE6EF133F9B2D3D4CBCE38653F608E3A04569C729561B8E69C14BE4D3E7FAC417424425093E39AF8P4J" TargetMode="External"/><Relationship Id="rId37" Type="http://schemas.openxmlformats.org/officeDocument/2006/relationships/hyperlink" Target="consultantplus://offline/ref=EFDA7DF67D32324D460BEA75CF4E44B527EE6EF133F9B2D3D4CBCE38653F608E3A04569C729564BDEA9C14BE4D3E7FAC417424425093E39AF8P4J" TargetMode="External"/><Relationship Id="rId38" Type="http://schemas.openxmlformats.org/officeDocument/2006/relationships/hyperlink" Target="consultantplus://offline/ref=EFDA7DF67D32324D460BEA75CF4E44B527EE6EF133F9B2D3D4CBCE38653F608E3A04569C729561B7E09C14BE4D3E7FAC417424425093E39AF8P4J" TargetMode="External"/><Relationship Id="rId39" Type="http://schemas.openxmlformats.org/officeDocument/2006/relationships/hyperlink" Target="consultantplus://offline/ref=EFDA7DF67D32324D460BEA75CF4E44B527EE6EF133F9B2D3D4CBCE38653F608E3A04569C729561B7E69C14BE4D3E7FAC417424425093E39AF8P4J" TargetMode="External"/><Relationship Id="rId40" Type="http://schemas.openxmlformats.org/officeDocument/2006/relationships/hyperlink" Target="consultantplus://offline/ref=EFDA7DF67D32324D460BEA75CF4E44B527EE6EF133F9B2D3D4CBCE38653F608E3A04569C729566B8E29C14BE4D3E7FAC417424425093E39AF8P4J" TargetMode="External"/><Relationship Id="rId41" Type="http://schemas.openxmlformats.org/officeDocument/2006/relationships/hyperlink" Target="consultantplus://offline/ref=EFDA7DF67D32324D460BEA75CF4E44B527EE6EF133F9B2D3D4CBCE38653F608E3A04569C729567BFE19C14BE4D3E7FAC417424425093E39AF8P4J" TargetMode="External"/><Relationship Id="rId42" Type="http://schemas.openxmlformats.org/officeDocument/2006/relationships/hyperlink" Target="consultantplus://offline/ref=EFDA7DF67D32324D460BEA75CF4E44B527EE6EF133F9B2D3D4CBCE38653F608E3A04569C729567BFE79C14BE4D3E7FAC417424425093E39AF8P4J" TargetMode="External"/><Relationship Id="rId43" Type="http://schemas.openxmlformats.org/officeDocument/2006/relationships/hyperlink" Target="consultantplus://offline/ref=EFDA7DF67D32324D460BEA75CF4E44B527EE6EF133F9B2D3D4CBCE38653F608E3A04569C729567BFE59C14BE4D3E7FAC417424425093E39AF8P4J" TargetMode="External"/><Relationship Id="rId44" Type="http://schemas.openxmlformats.org/officeDocument/2006/relationships/hyperlink" Target="consultantplus://offline/ref=EFDA7DF67D32324D460BEA75CF4E44B527EE6EF133F9B2D3D4CBCE38653F608E3A04569C729567BCE79C14BE4D3E7FAC417424425093E39AF8P4J" TargetMode="External"/><Relationship Id="rId45" Type="http://schemas.openxmlformats.org/officeDocument/2006/relationships/hyperlink" Target="consultantplus://offline/ref=EFDA7DF67D32324D460BEA75CF4E44B527EE6EF133F9B2D3D4CBCE38653F608E3A04569C729567BBE69C14BE4D3E7FAC417424425093E39AF8P4J" TargetMode="External"/><Relationship Id="rId46" Type="http://schemas.openxmlformats.org/officeDocument/2006/relationships/hyperlink" Target="consultantplus://offline/ref=EFDA7DF67D32324D460BEA75CF4E44B527EE6EF133F9B2D3D4CBCE38653F608E3A04569C72956AB8E09C14BE4D3E7FAC417424425093E39AF8P4J" TargetMode="External"/><Relationship Id="rId47" Type="http://schemas.openxmlformats.org/officeDocument/2006/relationships/hyperlink" Target="consultantplus://offline/ref=EFDA7DF67D32324D460BEA75CF4E44B527EE6EF133F9B2D3D4CBCE38653F608E3A04569C729563B8E49C14BE4D3E7FAC417424425093E39AF8P4J" TargetMode="External"/><Relationship Id="rId48" Type="http://schemas.openxmlformats.org/officeDocument/2006/relationships/hyperlink" Target="consultantplus://offline/ref=EFDA7DF67D32324D460BEA75CF4E44B527EE6EF133F9B2D3D4CBCE38653F608E3A04569C729562BAE29C14BE4D3E7FAC417424425093E39AF8P4J" TargetMode="External"/><Relationship Id="rId49" Type="http://schemas.openxmlformats.org/officeDocument/2006/relationships/hyperlink" Target="https://xn--l1agf.xn--p1ai/" TargetMode="External"/><Relationship Id="rId50" Type="http://schemas.openxmlformats.org/officeDocument/2006/relationships/hyperlink" Target="https://login.consultant.ru/link/?req=doc&amp;base=LAW&amp;n=472841&amp;date=06.06.2024&amp;dst=5769&amp;field=134" TargetMode="External"/><Relationship Id="rId51" Type="http://schemas.openxmlformats.org/officeDocument/2006/relationships/hyperlink" Target="https://login.consultant.ru/link/?req=doc&amp;base=LAW&amp;n=470713&amp;dst=3704&amp;field=134&amp;date=11.06.2024" TargetMode="External"/><Relationship Id="rId52" Type="http://schemas.openxmlformats.org/officeDocument/2006/relationships/hyperlink" Target="https://login.consultant.ru/link/?req=doc&amp;base=LAW&amp;n=470713&amp;dst=3722&amp;field=134&amp;date=11.06.2024" TargetMode="External"/><Relationship Id="rId53" Type="http://schemas.openxmlformats.org/officeDocument/2006/relationships/hyperlink" Target="consultantplus://offline/ref=EFDA7DF67D32324D460BEA75CF4E44B527EE66FE33F5B2D3D4CBCE38653F608E28040E9070977CBEE18942EF0BF6P8J" TargetMode="External"/><Relationship Id="rId54" Type="http://schemas.openxmlformats.org/officeDocument/2006/relationships/hyperlink" Target="https://login.consultant.ru/link/?req=doc&amp;base=LAW&amp;n=121087&amp;dst=100142" TargetMode="External"/><Relationship Id="rId55" Type="http://schemas.openxmlformats.org/officeDocument/2006/relationships/hyperlink" Target="https://login.consultant.ru/link/?req=doc&amp;base=LAW&amp;n=4529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dtGlobalColor w:val="ffffff"/>
  <w:SdtGlobalShowHighlight w:val="true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26</cp:revision>
  <dcterms:created xsi:type="dcterms:W3CDTF">2024-08-22T07:01:00Z</dcterms:created>
  <dcterms:modified xsi:type="dcterms:W3CDTF">2024-09-06T05:38:43Z</dcterms:modified>
</cp:coreProperties>
</file>