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61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165"/>
        <w:gridCol w:w="1794"/>
        <w:gridCol w:w="453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5" w:type="dxa"/>
            <w:textDirection w:val="lrTb"/>
            <w:noWrap w:val="false"/>
          </w:tcPr>
          <w:p>
            <w:pPr>
              <w:pBdr/>
              <w:tabs>
                <w:tab w:val="left" w:leader="none" w:pos="6804"/>
              </w:tabs>
              <w:spacing/>
              <w:ind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94" w:type="dxa"/>
            <w:textDirection w:val="lrTb"/>
            <w:noWrap w:val="false"/>
          </w:tcPr>
          <w:p>
            <w:pPr>
              <w:pBdr/>
              <w:tabs>
                <w:tab w:val="left" w:leader="none" w:pos="6804"/>
              </w:tabs>
              <w:spacing/>
              <w:ind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outlineLvl w:val="0"/>
              <w:rPr>
                <w:spacing w:val="2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highlight w:val="white"/>
                <w:shd w:val="clear" w:color="auto" w:fill="ffffff"/>
              </w:rPr>
              <w:t xml:space="preserve">Приложение</w:t>
            </w:r>
            <w:r>
              <w:rPr>
                <w:spacing w:val="2"/>
                <w:sz w:val="26"/>
                <w:szCs w:val="26"/>
                <w:highlight w:val="white"/>
              </w:rPr>
              <w:br/>
            </w:r>
            <w:r>
              <w:rPr>
                <w:spacing w:val="2"/>
                <w:sz w:val="26"/>
                <w:szCs w:val="26"/>
                <w:highlight w:val="white"/>
                <w:shd w:val="clear" w:color="auto" w:fill="ffffff"/>
              </w:rPr>
              <w:t xml:space="preserve">к приказу управления экономического развития </w:t>
            </w:r>
            <w:r>
              <w:rPr>
                <w:spacing w:val="2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spacing w:val="2"/>
                <w:sz w:val="26"/>
                <w:szCs w:val="26"/>
                <w:highlight w:val="white"/>
                <w:shd w:val="clear" w:color="auto" w:fill="ffffff"/>
              </w:rPr>
            </w:r>
          </w:p>
          <w:p>
            <w:pPr>
              <w:pBdr/>
              <w:spacing/>
              <w:ind/>
              <w:jc w:val="right"/>
              <w:outlineLvl w:val="0"/>
              <w:rPr>
                <w:spacing w:val="2"/>
                <w:sz w:val="26"/>
                <w:szCs w:val="26"/>
                <w:highlight w:val="white"/>
              </w:rPr>
            </w:pPr>
            <w:r>
              <w:rPr>
                <w:spacing w:val="2"/>
                <w:sz w:val="26"/>
                <w:szCs w:val="26"/>
                <w:highlight w:val="white"/>
                <w:shd w:val="clear" w:color="auto" w:fill="ffffff"/>
              </w:rPr>
              <w:t xml:space="preserve">Липецкой области </w:t>
            </w:r>
            <w:r>
              <w:rPr>
                <w:sz w:val="26"/>
                <w:szCs w:val="26"/>
                <w:highlight w:val="white"/>
              </w:rPr>
              <w:t xml:space="preserve">«Об утверждении Порядка 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предоставления </w:t>
            </w:r>
            <w:r>
              <w:rPr>
                <w:color w:val="000000"/>
                <w:sz w:val="26"/>
                <w:szCs w:val="26"/>
              </w:rPr>
              <w:t xml:space="preserve">грантов в форме </w:t>
            </w:r>
            <w:r>
              <w:rPr>
                <w:color w:val="000000"/>
                <w:highlight w:val="white"/>
              </w:rPr>
              <w:t xml:space="preserve">суб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на финансовое обеспечение затрат, связанных с развитием местных брендов</w:t>
            </w:r>
            <w:r>
              <w:rPr>
                <w:sz w:val="26"/>
                <w:szCs w:val="26"/>
                <w:highlight w:val="white"/>
              </w:rPr>
              <w:t xml:space="preserve">»</w:t>
            </w:r>
            <w:r>
              <w:rPr>
                <w:spacing w:val="2"/>
                <w:sz w:val="26"/>
                <w:szCs w:val="26"/>
                <w:highlight w:val="white"/>
              </w:rPr>
            </w:r>
            <w:r>
              <w:rPr>
                <w:spacing w:val="2"/>
                <w:sz w:val="26"/>
                <w:szCs w:val="26"/>
                <w:highlight w:val="white"/>
              </w:rPr>
            </w:r>
          </w:p>
          <w:p>
            <w:pPr>
              <w:pBdr/>
              <w:tabs>
                <w:tab w:val="left" w:leader="none" w:pos="6804"/>
              </w:tabs>
              <w:spacing/>
              <w:ind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</w:tc>
      </w:tr>
    </w:tbl>
    <w:p>
      <w:pPr>
        <w:pBdr/>
        <w:tabs>
          <w:tab w:val="left" w:leader="none" w:pos="6804"/>
        </w:tabs>
        <w:spacing/>
        <w:ind w:right="5953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851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lang w:eastAsia="ar-SA"/>
        </w:rPr>
        <w:t xml:space="preserve">Порядок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/>
        <w:jc w:val="center"/>
        <w:rPr>
          <w:color w:val="000000"/>
          <w:sz w:val="26"/>
          <w:szCs w:val="26"/>
          <w:highlight w:val="white"/>
          <w:shd w:val="clear" w:color="auto" w:fill="ffffff"/>
        </w:rPr>
      </w:pPr>
      <w:r>
        <w:rPr>
          <w:sz w:val="26"/>
          <w:szCs w:val="26"/>
          <w:highlight w:val="white"/>
        </w:rPr>
        <w:t xml:space="preserve">предоставления </w:t>
      </w:r>
      <w:r>
        <w:rPr>
          <w:color w:val="000000"/>
          <w:sz w:val="26"/>
          <w:szCs w:val="26"/>
        </w:rPr>
        <w:t xml:space="preserve">грантов в форме </w:t>
      </w:r>
      <w:r>
        <w:rPr>
          <w:color w:val="000000"/>
          <w:highlight w:val="white"/>
        </w:rPr>
        <w:t xml:space="preserve">суб</w:t>
      </w:r>
      <w:r>
        <w:rPr>
          <w:color w:val="000000"/>
          <w:sz w:val="26"/>
          <w:szCs w:val="26"/>
          <w:highlight w:val="white"/>
        </w:rPr>
        <w:t xml:space="preserve">ъектам малого и среднего </w:t>
      </w:r>
      <w:r>
        <w:rPr>
          <w:color w:val="000000"/>
          <w:sz w:val="26"/>
          <w:szCs w:val="26"/>
          <w:highlight w:val="white"/>
          <w:shd w:val="clear" w:color="auto" w:fill="ffffff"/>
        </w:rPr>
      </w:r>
      <w:r>
        <w:rPr>
          <w:color w:val="000000"/>
          <w:sz w:val="26"/>
          <w:szCs w:val="26"/>
          <w:highlight w:val="white"/>
          <w:shd w:val="clear" w:color="auto" w:fill="ffffff"/>
        </w:rPr>
      </w:r>
    </w:p>
    <w:p>
      <w:pPr>
        <w:pBdr/>
        <w:spacing w:line="283" w:lineRule="atLeast"/>
        <w:ind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предпринимательства (за исключением производственных кооперативов, потребительских кооперативов и крестьянских (фермерских) хозяйств)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 w:line="283" w:lineRule="atLeast"/>
        <w:ind/>
        <w:jc w:val="center"/>
        <w:rPr>
          <w:spacing w:val="2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на финансовое обеспечение затрат, связанных с развитием местных брендов</w:t>
      </w:r>
      <w:r>
        <w:rPr>
          <w:spacing w:val="2"/>
          <w:sz w:val="26"/>
          <w:szCs w:val="26"/>
          <w:highlight w:val="white"/>
        </w:rPr>
      </w:r>
      <w:r>
        <w:rPr>
          <w:spacing w:val="2"/>
          <w:sz w:val="26"/>
          <w:szCs w:val="26"/>
          <w:highlight w:val="white"/>
        </w:rPr>
      </w:r>
    </w:p>
    <w:p>
      <w:pPr>
        <w:pBdr/>
        <w:spacing w:line="283" w:lineRule="atLeast"/>
        <w:ind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709"/>
        <w:jc w:val="both"/>
        <w:rPr>
          <w:rFonts w:eastAsiaTheme="minorEastAsia"/>
          <w:bCs/>
          <w:i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1. Настоящий Порядок определяет механизм предоставления </w:t>
      </w:r>
      <w:r>
        <w:rPr>
          <w:color w:val="000000"/>
          <w:sz w:val="26"/>
          <w:szCs w:val="26"/>
        </w:rPr>
        <w:t xml:space="preserve">грантов в форме субсидий субъектам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на финансовое обеспечение затрат, связанных с развитием местных</w:t>
      </w:r>
      <w:r>
        <w:rPr>
          <w:color w:val="000000"/>
          <w:sz w:val="26"/>
          <w:szCs w:val="26"/>
          <w:highlight w:val="white"/>
        </w:rPr>
        <w:t xml:space="preserve"> брендов </w:t>
      </w:r>
      <w:r>
        <w:rPr>
          <w:sz w:val="26"/>
          <w:szCs w:val="26"/>
          <w:highlight w:val="white"/>
        </w:rPr>
        <w:t xml:space="preserve">(далее - гранты)</w:t>
      </w:r>
      <w:r>
        <w:rPr>
          <w:i/>
          <w:sz w:val="26"/>
          <w:szCs w:val="26"/>
          <w:highlight w:val="white"/>
        </w:rPr>
        <w:t xml:space="preserve">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из бюджета Липецкой области и проведения отбора получателей указанных грантов в пределах средств, предусмотренных в законе Липецкой области об областном бюджете на соответствующий финансовый год и плановый период (далее - Закон об областном бюджете).</w:t>
      </w:r>
      <w:r>
        <w:rPr>
          <w:rFonts w:eastAsiaTheme="minorEastAsia"/>
          <w:bCs/>
          <w:i/>
          <w:sz w:val="26"/>
          <w:szCs w:val="26"/>
          <w:highlight w:val="white"/>
        </w:rPr>
      </w:r>
      <w:r>
        <w:rPr>
          <w:rFonts w:eastAsiaTheme="minorEastAsia"/>
          <w:bCs/>
          <w:i/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709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Целью предоставления гранта является финансовое обеспечение затра</w:t>
      </w:r>
      <w:r>
        <w:rPr>
          <w:color w:val="000000"/>
          <w:sz w:val="26"/>
          <w:szCs w:val="26"/>
          <w:highlight w:val="white"/>
        </w:rPr>
        <w:t xml:space="preserve">т, связанных с развитием местных брендов.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709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Гранты предоставляется в соответствии с </w:t>
      </w:r>
      <w:hyperlink r:id="rId10" w:tooltip="https://login.consultant.ru/link/?req=doc&amp;base=RLAW220&amp;n=134102&amp;dst=101561" w:history="1">
        <w:r>
          <w:rPr>
            <w:color w:val="0000ff"/>
            <w:sz w:val="26"/>
            <w:szCs w:val="26"/>
            <w:highlight w:val="white"/>
          </w:rPr>
          <w:t xml:space="preserve">Паспортом</w:t>
        </w:r>
      </w:hyperlink>
      <w:r>
        <w:rPr>
          <w:sz w:val="26"/>
          <w:szCs w:val="26"/>
          <w:highlight w:val="white"/>
        </w:rPr>
        <w:t xml:space="preserve"> комплекса процессных мероприятий «Создание условий для повышения конкурентоспособности субъектов МСП региона» государственной программы Липецкой области «Развитие малого и средне</w:t>
      </w:r>
      <w:r>
        <w:rPr>
          <w:sz w:val="26"/>
          <w:szCs w:val="26"/>
          <w:highlight w:val="white"/>
        </w:rPr>
        <w:t xml:space="preserve">го предпринимательства Липецкой области», утвержденной постановлением Правительства Липецкой области от 21 декабря 2023 года № 744 «Об утверждении государственной программы Липецкой области «Развитие малого и среднего предпринимательства Липецкой области».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2. </w:t>
      </w:r>
      <w:r>
        <w:rPr>
          <w:rFonts w:eastAsiaTheme="minorEastAsia"/>
          <w:sz w:val="26"/>
          <w:szCs w:val="26"/>
          <w:highlight w:val="white"/>
        </w:rPr>
        <w:t xml:space="preserve">Гранты предоставляются </w:t>
      </w:r>
      <w:r>
        <w:rPr>
          <w:sz w:val="26"/>
          <w:szCs w:val="26"/>
          <w:highlight w:val="white"/>
        </w:rPr>
        <w:t xml:space="preserve">управлением экономического развития Липецкой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</w:t>
      </w:r>
      <w:r>
        <w:rPr>
          <w:sz w:val="26"/>
          <w:szCs w:val="26"/>
          <w:highlight w:val="white"/>
        </w:rPr>
        <w:t xml:space="preserve">етных средств доведены в установленном порядке лимиты бюджетных обязательств на предоставление грантов на соответствующий финансовый год (соответствующий финансовый год и плановый период) (далее – управление), в соответствии с Законом об областном бюджете.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709"/>
        <w:jc w:val="both"/>
        <w:rPr>
          <w:i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3. </w:t>
      </w:r>
      <w:r>
        <w:rPr>
          <w:rFonts w:eastAsiaTheme="minorEastAsia"/>
          <w:sz w:val="26"/>
          <w:szCs w:val="26"/>
          <w:highlight w:val="white"/>
        </w:rPr>
        <w:t xml:space="preserve">Гранты предоставляются на финансовое обеспечение затрат</w:t>
      </w:r>
      <w:r>
        <w:rPr>
          <w:rFonts w:eastAsiaTheme="minorEastAsia"/>
          <w:sz w:val="26"/>
          <w:szCs w:val="26"/>
          <w:highlight w:val="white"/>
          <w:shd w:val="clear" w:color="ffffff" w:themeColor="background1" w:fill="ffffff" w:themeFill="background1"/>
        </w:rPr>
        <w:t xml:space="preserve">. </w:t>
      </w:r>
      <w:r>
        <w:rPr>
          <w:i/>
          <w:sz w:val="26"/>
          <w:szCs w:val="26"/>
          <w:highlight w:val="white"/>
        </w:rPr>
      </w:r>
      <w:r>
        <w:rPr>
          <w:i/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4. Информация о гранте размещается на едином портале бюджетной системы Российской Федерации </w:t>
      </w:r>
      <w:hyperlink r:id="rId11" w:tooltip="http://budget.gov.ru/" w:history="1">
        <w:r>
          <w:rPr>
            <w:sz w:val="26"/>
            <w:szCs w:val="26"/>
            <w:highlight w:val="white"/>
          </w:rPr>
          <w:t xml:space="preserve">http://budget.gov.ru/</w:t>
        </w:r>
      </w:hyperlink>
      <w:r>
        <w:rPr>
          <w:sz w:val="26"/>
          <w:szCs w:val="26"/>
          <w:highlight w:val="white"/>
        </w:rPr>
        <w:t xml:space="preserve"> в информационно-телекоммуникационной сети «Интернет», (далее – единый портал) (в разделе единого </w:t>
      </w:r>
      <w:r>
        <w:rPr>
          <w:bCs/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709"/>
        <w:jc w:val="both"/>
        <w:rPr>
          <w:sz w:val="26"/>
          <w:szCs w:val="26"/>
          <w:highlight w:val="white"/>
        </w:rPr>
      </w:pPr>
      <w:r>
        <w:rPr>
          <w:bCs/>
          <w:sz w:val="26"/>
          <w:szCs w:val="26"/>
          <w:highlight w:val="none"/>
        </w:rPr>
      </w:r>
      <w:r>
        <w:rPr>
          <w:bCs/>
          <w:sz w:val="26"/>
          <w:szCs w:val="26"/>
          <w:highlight w:val="none"/>
        </w:rPr>
      </w:r>
      <w:r>
        <w:rPr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709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</w:r>
      <w:r>
        <w:rPr>
          <w:bCs/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widowControl w:val="false"/>
        <w:pBdr/>
        <w:spacing w:line="283" w:lineRule="atLeast"/>
        <w:ind w:firstLine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портала), а также </w:t>
      </w:r>
      <w:r>
        <w:rPr>
          <w:bCs/>
          <w:sz w:val="26"/>
          <w:szCs w:val="26"/>
          <w:highlight w:val="white"/>
        </w:rPr>
        <w:t xml:space="preserve">на официальном сайте управления </w:t>
      </w:r>
      <w:hyperlink r:id="rId12" w:tooltip="https://экономика.липецкаяобласть.рф/" w:history="1">
        <w:r>
          <w:rPr>
            <w:bCs/>
            <w:sz w:val="26"/>
            <w:szCs w:val="26"/>
            <w:highlight w:val="white"/>
          </w:rPr>
          <w:t xml:space="preserve">https://экономика.липецкаяобласть.рф/</w:t>
        </w:r>
      </w:hyperlink>
      <w:r>
        <w:rPr>
          <w:bCs/>
          <w:sz w:val="26"/>
          <w:szCs w:val="26"/>
          <w:highlight w:val="white"/>
        </w:rPr>
        <w:t xml:space="preserve"> в информационно-телекоммуникационной сети «Интернет» (далее – сайт управления).</w:t>
      </w:r>
      <w:r>
        <w:rPr>
          <w:bCs/>
          <w:sz w:val="26"/>
          <w:szCs w:val="26"/>
          <w:highlight w:val="white"/>
        </w:rPr>
      </w:r>
      <w:r>
        <w:rPr>
          <w:sz w:val="26"/>
          <w:szCs w:val="26"/>
          <w:highlight w:val="none"/>
        </w:rPr>
      </w:r>
    </w:p>
    <w:p>
      <w:pPr>
        <w:widowControl w:val="false"/>
        <w:pBdr/>
        <w:spacing/>
        <w:ind w:firstLine="70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5. Гранты предоставляются </w:t>
      </w:r>
      <w:r>
        <w:rPr>
          <w:color w:val="000000"/>
          <w:sz w:val="26"/>
          <w:szCs w:val="26"/>
          <w:highlight w:val="white"/>
        </w:rPr>
        <w:t xml:space="preserve">субъектам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</w:t>
      </w:r>
      <w:r>
        <w:rPr>
          <w:sz w:val="26"/>
          <w:szCs w:val="26"/>
          <w:highlight w:val="white"/>
        </w:rPr>
        <w:t xml:space="preserve">(далее – претенденты)</w:t>
      </w:r>
      <w:r>
        <w:rPr>
          <w:color w:val="000000"/>
          <w:sz w:val="26"/>
          <w:szCs w:val="26"/>
          <w:highlight w:val="white"/>
        </w:rPr>
        <w:t xml:space="preserve"> на финансовое обеспечение затрат, связанных с развитием местных брендов, </w:t>
      </w:r>
      <w:r>
        <w:rPr>
          <w:iCs/>
          <w:sz w:val="26"/>
          <w:szCs w:val="26"/>
          <w:highlight w:val="white"/>
          <w:lang w:eastAsia="ar-SA"/>
        </w:rPr>
        <w:t xml:space="preserve">отвечающим условиям и требованиям установленным настоящим порядком</w:t>
      </w:r>
      <w:r>
        <w:rPr>
          <w:sz w:val="26"/>
          <w:szCs w:val="26"/>
          <w:highlight w:val="white"/>
        </w:rPr>
        <w:t xml:space="preserve"> и прошедшим отбор.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widowControl w:val="false"/>
        <w:pBdr/>
        <w:spacing/>
        <w:ind w:firstLine="70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Отбор осуществляется управлением</w:t>
      </w:r>
      <w:r>
        <w:rPr>
          <w:sz w:val="26"/>
          <w:szCs w:val="26"/>
          <w:highlight w:val="white"/>
        </w:rPr>
        <w:t xml:space="preserve"> путем проведения конкурса (далее - конкурс) на основании заявок, направленных претендентами для участия в конкурсе получателей грантов (далее - заявка), исходя из наилучших условий достижения результатов, в целях достижения которых предоставляются гранты.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540"/>
        <w:jc w:val="both"/>
        <w:rPr>
          <w:strike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6. Проведение конкурса обеспечивается с использованием сайта управления </w:t>
      </w:r>
      <w:r>
        <w:rPr>
          <w:color w:val="000000"/>
          <w:sz w:val="26"/>
          <w:szCs w:val="26"/>
        </w:rPr>
        <w:t xml:space="preserve">и через Цифровую платформу МСП (</w:t>
      </w:r>
      <w:r>
        <w:rPr>
          <w:sz w:val="26"/>
          <w:szCs w:val="26"/>
        </w:rPr>
        <w:t xml:space="preserve">https://мсп.рф</w:t>
      </w:r>
      <w:r>
        <w:rPr>
          <w:color w:val="000000"/>
          <w:sz w:val="26"/>
          <w:szCs w:val="26"/>
        </w:rPr>
        <w:t xml:space="preserve">) (далее - ЦП МСП).</w:t>
      </w:r>
      <w:r>
        <w:rPr>
          <w:strike/>
          <w:sz w:val="26"/>
          <w:szCs w:val="26"/>
          <w:highlight w:val="white"/>
        </w:rPr>
      </w:r>
      <w:r>
        <w:rPr>
          <w:strike/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jc w:val="both"/>
        <w:rPr>
          <w:sz w:val="26"/>
          <w:szCs w:val="26"/>
          <w:highlight w:val="white"/>
        </w:rPr>
      </w:pPr>
      <w:r/>
      <w:bookmarkStart w:id="0" w:name="Пункт7требования"/>
      <w:r>
        <w:rPr>
          <w:sz w:val="26"/>
          <w:szCs w:val="26"/>
          <w:highlight w:val="white"/>
        </w:rPr>
        <w:t xml:space="preserve">7</w:t>
      </w:r>
      <w:bookmarkEnd w:id="0"/>
      <w:r>
        <w:rPr>
          <w:sz w:val="26"/>
          <w:szCs w:val="26"/>
          <w:highlight w:val="white"/>
        </w:rPr>
        <w:t xml:space="preserve">. Претендент должен соответствовать следующим </w:t>
      </w:r>
      <w:r>
        <w:rPr>
          <w:b/>
          <w:bCs/>
          <w:sz w:val="26"/>
          <w:szCs w:val="26"/>
          <w:highlight w:val="white"/>
        </w:rPr>
        <w:t xml:space="preserve">требованиям</w:t>
      </w:r>
      <w:r>
        <w:rPr>
          <w:sz w:val="26"/>
          <w:szCs w:val="26"/>
          <w:highlight w:val="white"/>
        </w:rPr>
        <w:t xml:space="preserve">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1) на дату подачи заявки: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претендент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tooltip="consultantplus://offline/ref=01DB43AF7C0C72892532F5DFF29490888E1A575DFD2119A6E9B179B3EE2DB76696F7F3C43954F41784B6F9CE1653D7C8B962B19EEE3B1524BCxEI" w:history="1">
        <w:r>
          <w:rPr>
            <w:sz w:val="26"/>
            <w:szCs w:val="26"/>
            <w:highlight w:val="white"/>
          </w:rPr>
          <w:t xml:space="preserve">перечень</w:t>
        </w:r>
      </w:hyperlink>
      <w:r>
        <w:rPr>
          <w:sz w:val="26"/>
          <w:szCs w:val="26"/>
          <w:highlight w:val="white"/>
        </w:rPr>
        <w:t xml:space="preserve"> государств и территорий, используемых для промежуточного (офшорного) владения активами в Российской Федерации (да</w:t>
      </w:r>
      <w:r>
        <w:rPr>
          <w:sz w:val="26"/>
          <w:szCs w:val="26"/>
          <w:highlight w:val="white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sz w:val="26"/>
          <w:szCs w:val="26"/>
          <w:highlight w:val="white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sz w:val="26"/>
          <w:szCs w:val="26"/>
          <w:highlight w:val="white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претендент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претендент не находится в составляемых в рамках реализации полномочий, предусмотренных </w:t>
      </w:r>
      <w:hyperlink r:id="rId14" w:tooltip="consultantplus://offline/ref=01DB43AF7C0C72892532F5DFF29490888B1A565FF62619A6E9B179B3EE2DB76696F7F3C43954F51286B6F9CE1653D7C8B962B19EEE3B1524BCxEI" w:history="1">
        <w:r>
          <w:rPr>
            <w:sz w:val="26"/>
            <w:szCs w:val="26"/>
            <w:highlight w:val="white"/>
          </w:rPr>
          <w:t xml:space="preserve">главой VII</w:t>
        </w:r>
      </w:hyperlink>
      <w:r>
        <w:rPr>
          <w:sz w:val="26"/>
          <w:szCs w:val="26"/>
          <w:highlight w:val="white"/>
        </w:rPr>
        <w:t xml:space="preserve"> Ус</w:t>
      </w:r>
      <w:r>
        <w:rPr>
          <w:sz w:val="26"/>
          <w:szCs w:val="26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претендент не получает средства из областного бюджета на основании иных нормативных правовых актов на цели, установленные пунктом 1 настоящего Порядка;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претендент не является иностранным агентом в соответствии с Федеральным </w:t>
      </w:r>
      <w:hyperlink r:id="rId15" w:tooltip="consultantplus://offline/ref=01DB43AF7C0C72892532F5DFF29490888E1D5556FF2219A6E9B179B3EE2DB76684F7ABC83B5DEA1785A3AF9F50B0x5I" w:history="1">
        <w:r>
          <w:rPr>
            <w:sz w:val="26"/>
            <w:szCs w:val="26"/>
            <w:highlight w:val="white"/>
          </w:rPr>
          <w:t xml:space="preserve">законом</w:t>
        </w:r>
      </w:hyperlink>
      <w:r>
        <w:rPr>
          <w:sz w:val="26"/>
          <w:szCs w:val="26"/>
          <w:highlight w:val="white"/>
        </w:rPr>
        <w:t xml:space="preserve"> от 14 июля 2022 года 255 – ФЗ «О контроле за деятельностью лиц, находящихся под иностранным влиянием»;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у претендента 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suppressLineNumbers w:val="false"/>
        <w:pBdr/>
        <w:spacing w:line="283" w:lineRule="atLeast"/>
        <w:ind w:firstLine="539"/>
        <w:contextualSpacing w:val="true"/>
        <w:jc w:val="both"/>
        <w:rPr>
          <w:rFonts w:ascii="TimesNewRoman" w:hAnsi="TimesNewRoman" w:eastAsia="TimesNewRoman" w:cs="TimesNewRoman"/>
          <w:sz w:val="26"/>
          <w:szCs w:val="26"/>
          <w:highlight w:val="white"/>
        </w:rPr>
      </w:pP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претендент</w:t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не</w:t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находится</w:t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в процессе реор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его не 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введена</w:t>
      </w:r>
      <w:r>
        <w:rPr>
          <w:rFonts w:ascii="TimesNewRoman" w:hAnsi="TimesNewRoman" w:eastAsia="TimesNewRoman" w:cs="TimesNewRoman"/>
          <w:spacing w:val="-11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процедура</w:t>
      </w:r>
      <w:r>
        <w:rPr>
          <w:rFonts w:ascii="TimesNewRoman" w:hAnsi="TimesNewRoman" w:eastAsia="TimesNewRoman" w:cs="TimesNewRoman"/>
          <w:spacing w:val="-11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банкротств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а,</w:t>
      </w:r>
      <w:r>
        <w:rPr>
          <w:rFonts w:ascii="TimesNewRoman" w:hAnsi="TimesNewRoman" w:eastAsia="TimesNewRoman" w:cs="TimesNewRoman"/>
          <w:spacing w:val="-11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деятельность</w:t>
      </w:r>
      <w:r>
        <w:rPr>
          <w:rFonts w:ascii="TimesNewRoman" w:hAnsi="TimesNewRoman" w:eastAsia="TimesNewRoman" w:cs="TimesNewRoman"/>
          <w:spacing w:val="-11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получателя</w:t>
      </w:r>
      <w:r>
        <w:rPr>
          <w:rFonts w:ascii="TimesNewRoman" w:hAnsi="TimesNewRoman" w:eastAsia="TimesNewRoman" w:cs="TimesNewRoman"/>
          <w:spacing w:val="-11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гранта</w:t>
      </w:r>
      <w:r>
        <w:rPr>
          <w:rFonts w:ascii="TimesNewRoman" w:hAnsi="TimesNewRoman" w:eastAsia="TimesNewRoman" w:cs="TimesNewRoman"/>
          <w:spacing w:val="-11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не</w:t>
      </w:r>
      <w:r>
        <w:rPr>
          <w:rFonts w:ascii="TimesNewRoman" w:hAnsi="TimesNewRoman" w:eastAsia="TimesNewRoman" w:cs="TimesNewRoman"/>
          <w:spacing w:val="-11"/>
          <w:sz w:val="24"/>
          <w:szCs w:val="24"/>
          <w:highlight w:val="white"/>
        </w:rPr>
        <w:t xml:space="preserve"> 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приостановлена</w:t>
      </w:r>
      <w:r>
        <w:rPr>
          <w:rFonts w:ascii="TimesNewRoman" w:hAnsi="TimesNewRoman" w:eastAsia="TimesNewRoman" w:cs="TimesNewRoman"/>
          <w:spacing w:val="-11"/>
          <w:sz w:val="26"/>
          <w:szCs w:val="26"/>
          <w:highlight w:val="white"/>
        </w:rPr>
        <w:t xml:space="preserve">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в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порядке, предусмотренном законодательством Российской Федерации, а претендент, являющийся индивидуальным предпринимателем, не прекратил деятельность в качестве индивидуального предпринимателя;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contextualSpacing w:val="true"/>
        <w:jc w:val="both"/>
        <w:rPr>
          <w:rFonts w:ascii="TimesNewRoman" w:hAnsi="TimesNewRoman" w:eastAsia="TimesNewRoman" w:cs="TimesNewRoman"/>
          <w:sz w:val="26"/>
          <w:szCs w:val="26"/>
          <w:highlight w:val="white"/>
        </w:rPr>
      </w:pPr>
      <w:r/>
      <w:bookmarkStart w:id="1" w:name="P92"/>
      <w:r/>
      <w:bookmarkEnd w:id="1"/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функции единоличного исполнительного органа, или главном бухгалтере (при наличии) получателя гранта,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гранта;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</w:r>
    </w:p>
    <w:p>
      <w:pPr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2)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на дату формирования справки, но не ранее даты подачи заявки, у претендента на едином налоговом счете отсутствует или не превышает размер, определенный </w:t>
      </w:r>
      <w:hyperlink r:id="rId16" w:tooltip="https://login.consultant.ru/link/?req=doc&amp;base=LAW&amp;n=472841&amp;date=06.06.2024&amp;dst=5769&amp;field=134" w:history="1">
        <w:r>
          <w:rPr>
            <w:rFonts w:ascii="TimesNewRoman" w:hAnsi="TimesNewRoman" w:eastAsia="TimesNewRoman" w:cs="TimesNewRoman"/>
            <w:color w:val="0000ff"/>
            <w:sz w:val="26"/>
            <w:szCs w:val="26"/>
            <w:highlight w:val="white"/>
          </w:rPr>
          <w:t xml:space="preserve">пунктом 3 статьи 47</w:t>
        </w:r>
      </w:hyperlink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widowControl w:val="false"/>
        <w:pBdr/>
        <w:spacing w:line="283" w:lineRule="atLeast"/>
        <w:ind w:firstLine="540"/>
        <w:jc w:val="both"/>
        <w:rPr>
          <w:rFonts w:eastAsiaTheme="minorEastAsia"/>
          <w:sz w:val="26"/>
          <w:szCs w:val="26"/>
          <w:highlight w:val="white"/>
        </w:rPr>
      </w:pPr>
      <w:r/>
      <w:bookmarkStart w:id="2" w:name="Пункт8условия"/>
      <w:r/>
      <w:bookmarkStart w:id="3" w:name="Пункт11документы"/>
      <w:r>
        <w:rPr>
          <w:rFonts w:eastAsiaTheme="minorEastAsia"/>
          <w:sz w:val="26"/>
          <w:szCs w:val="26"/>
          <w:highlight w:val="white"/>
        </w:rPr>
        <w:t xml:space="preserve">8.</w:t>
      </w:r>
      <w:bookmarkEnd w:id="2"/>
      <w:r/>
      <w:bookmarkEnd w:id="3"/>
      <w:r>
        <w:rPr>
          <w:rFonts w:eastAsiaTheme="minorEastAsia"/>
          <w:sz w:val="26"/>
          <w:szCs w:val="26"/>
          <w:highlight w:val="white"/>
        </w:rPr>
        <w:t xml:space="preserve">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Претендент должен соответствовать следующим </w:t>
      </w:r>
      <w:r>
        <w:rPr>
          <w:rFonts w:ascii="TimesNewRoman" w:hAnsi="TimesNewRoman" w:eastAsia="TimesNewRoman" w:cs="TimesNewRoman"/>
          <w:b/>
          <w:bCs/>
          <w:sz w:val="26"/>
          <w:szCs w:val="26"/>
          <w:highlight w:val="white"/>
        </w:rPr>
        <w:t xml:space="preserve">условиям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на дату подачи заявки:</w:t>
      </w:r>
      <w:r>
        <w:rPr>
          <w:rFonts w:eastAsiaTheme="minorEastAsia"/>
          <w:sz w:val="26"/>
          <w:szCs w:val="26"/>
          <w:highlight w:val="white"/>
        </w:rPr>
      </w:r>
      <w:r>
        <w:rPr>
          <w:rFonts w:eastAsiaTheme="minorEastAsia"/>
          <w:sz w:val="26"/>
          <w:szCs w:val="26"/>
          <w:highlight w:val="white"/>
        </w:rPr>
      </w:r>
    </w:p>
    <w:p>
      <w:pPr>
        <w:pBdr/>
        <w:spacing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 </w:t>
      </w:r>
      <w:r>
        <w:rPr>
          <w:sz w:val="26"/>
          <w:szCs w:val="26"/>
          <w:highlight w:val="white"/>
        </w:rPr>
        <w:t xml:space="preserve">осуществляет деятельность и зарегистрирован на территории Липецкой области</w:t>
      </w:r>
      <w:r>
        <w:rPr>
          <w:sz w:val="26"/>
          <w:szCs w:val="26"/>
        </w:rPr>
        <w:t xml:space="preserve"> в соответствии с разде</w:t>
      </w:r>
      <w:r>
        <w:rPr>
          <w:sz w:val="26"/>
          <w:szCs w:val="26"/>
          <w:highlight w:val="white"/>
        </w:rPr>
        <w:t xml:space="preserve">л</w:t>
      </w:r>
      <w:r>
        <w:rPr>
          <w:sz w:val="26"/>
          <w:szCs w:val="26"/>
        </w:rPr>
        <w:t xml:space="preserve">ом Общероссийского </w:t>
      </w:r>
      <w:hyperlink r:id="rId17" w:tooltip="consultantplus://offline/ref=9445DC87D48D5BAEA25E960453EE9257D66D91B0F4C463AE5044EC8C5857C8347DC7046D7B877D8D96F9BC507547hFK" w:history="1">
        <w:r>
          <w:rPr>
            <w:color w:val="0000ff"/>
            <w:sz w:val="26"/>
            <w:szCs w:val="26"/>
          </w:rPr>
          <w:t xml:space="preserve">классификатора</w:t>
        </w:r>
      </w:hyperlink>
      <w:r>
        <w:rPr>
          <w:sz w:val="26"/>
          <w:szCs w:val="26"/>
        </w:rPr>
        <w:t xml:space="preserve"> видов экономической деятельности ОК 029 - 2014 (КДЕС Ред. 2), утвержденного приказом Росстандарта от 31 января 2014 года N </w:t>
      </w:r>
      <w:r>
        <w:rPr>
          <w:sz w:val="26"/>
          <w:szCs w:val="26"/>
        </w:rPr>
        <w:t xml:space="preserve">14-ст «О принятии и введении в действие Общероссийского классификатора видов экономической деятельности (ОКВЭД2) ОК 029 - 2014 (КДЕС Ред. 2) и Общероссийского классификатора продукции по видам экономической деятельности (ОКПД2) ОК 034 - 2014 (КПЕС 2008)»: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39"/>
        <w:jc w:val="both"/>
        <w:rPr>
          <w:sz w:val="26"/>
          <w:szCs w:val="26"/>
        </w:rPr>
      </w:pPr>
      <w:r/>
      <w:hyperlink r:id="rId18" w:tooltip="consultantplus://offline/ref=EFDA7DF67D32324D460BEA75CF4E44B527EE6EF133F9B2D3D4CBCE38653F608E3A04569C729065BFE29C14BE4D3E7FAC417424425093E39AF8P4J" w:history="1">
        <w:r>
          <w:rPr>
            <w:color w:val="0000ff"/>
            <w:sz w:val="26"/>
            <w:szCs w:val="26"/>
            <w:highlight w:val="white"/>
          </w:rPr>
          <w:t xml:space="preserve">раздел С</w:t>
        </w:r>
      </w:hyperlink>
      <w:r>
        <w:rPr>
          <w:sz w:val="26"/>
          <w:szCs w:val="26"/>
          <w:highlight w:val="white"/>
        </w:rPr>
        <w:t xml:space="preserve"> «Обрабатывающие производства» - коды 13 «Производство текстильных изделий», 14 «Производство одежды», 15 «Производство </w:t>
      </w:r>
      <w:r>
        <w:rPr>
          <w:sz w:val="26"/>
          <w:szCs w:val="26"/>
        </w:rPr>
        <w:t xml:space="preserve">кожи и изделий из кожи»;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539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наличие у претендента свидетельства на товарный знак (знак обслуживания);</w:t>
      </w:r>
      <w:r>
        <w:rPr>
          <w:color w:val="000000" w:themeColor="text1"/>
          <w:sz w:val="26"/>
          <w:szCs w:val="26"/>
          <w:highlight w:val="white"/>
        </w:rPr>
      </w:r>
      <w:r>
        <w:rPr>
          <w:color w:val="000000" w:themeColor="text1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у претендента </w:t>
      </w:r>
      <w:r>
        <w:rPr>
          <w:sz w:val="26"/>
          <w:szCs w:val="26"/>
          <w:highlight w:val="white"/>
        </w:rPr>
        <w:t xml:space="preserve">проекта (бизнес-плана) </w:t>
      </w:r>
      <w:r>
        <w:rPr>
          <w:sz w:val="26"/>
          <w:szCs w:val="26"/>
        </w:rPr>
        <w:t xml:space="preserve">развития местного бренда (далее – проекта);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у претендента плана расходов гранта с указанием затрат;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 обязуется оплачивать за счет собственных средств не менее 30 процентов от размера предоставленного гранта;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 обязуется использовать грант в течение 12 месяцев со дня поступления гранта на его расчетный счет, открытый в кредитной организации;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претендент обязуется создать не </w:t>
      </w:r>
      <w:r>
        <w:rPr>
          <w:sz w:val="26"/>
          <w:szCs w:val="26"/>
          <w:highlight w:val="white"/>
        </w:rPr>
        <w:t xml:space="preserve">менее 1 нового рабочего места (на полную ставку) в течение 12 месяцев со дня поступления гранта на его расчетный счет, </w:t>
      </w:r>
      <w:r>
        <w:rPr>
          <w:sz w:val="26"/>
          <w:szCs w:val="26"/>
        </w:rPr>
        <w:t xml:space="preserve">открытый в кредитной организации</w:t>
      </w:r>
      <w:r>
        <w:rPr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претендент обязуется осуществлять деятельность и сохранять созданное рабочее место в течение не менее двух лет со дня поступления гранта на его расчетный счет, открытый в кредитной организации;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среднемесячная заработная плата за квартал, предшествующий дате подач</w:t>
      </w:r>
      <w:r>
        <w:rPr>
          <w:sz w:val="26"/>
          <w:szCs w:val="26"/>
          <w:highlight w:val="white"/>
        </w:rPr>
        <w:t xml:space="preserve">и заявки, составляет для работников претендента  на получение гранта на цели, установленные настоящим пунктом - не менее 100% от среднемесячной заработной платы работников за предшествующий финансовый год по микро, малым и средним предприятиям по соответст</w:t>
      </w:r>
      <w:r>
        <w:rPr>
          <w:sz w:val="26"/>
          <w:szCs w:val="26"/>
          <w:highlight w:val="white"/>
        </w:rPr>
        <w:t xml:space="preserve">вующей отрасли в Липецкой области, и превышает размер минимальной заработной платы, установленный на текущий финансовый год в Липецкой области (при наличии у претендента на получение гранта работников) по форме, согласно приложению 2 к настоящему Порядку;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претендент должен обеспечить ведение обособленного аналитического учета операций, осуществляемых за счет гранта;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 w:firstLine="540"/>
        <w:contextualSpacing w:val="true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 w:themeColor="text1"/>
          <w:sz w:val="26"/>
          <w:szCs w:val="26"/>
          <w:highlight w:val="white"/>
        </w:rPr>
        <w:t xml:space="preserve">претендент обязуется предоставлять отчетность об использовании средств гранта, достигнуть значение результата в порядке и по формам, утвержденным в </w:t>
      </w:r>
      <w:r>
        <w:rPr>
          <w:color w:val="000000" w:themeColor="text1"/>
          <w:sz w:val="26"/>
          <w:szCs w:val="26"/>
          <w:highlight w:val="white"/>
        </w:rPr>
        <w:t xml:space="preserve">соглашении о предоставлении гранта;</w:t>
      </w:r>
      <w:r>
        <w:rPr>
          <w:color w:val="000000" w:themeColor="text1"/>
          <w:sz w:val="26"/>
          <w:szCs w:val="26"/>
          <w:highlight w:val="white"/>
        </w:rPr>
      </w:r>
      <w:r>
        <w:rPr>
          <w:color w:val="000000" w:themeColor="text1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rFonts w:eastAsiaTheme="minorEastAsia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претендент обязуется обеспечить ведение раздельного учета доходов и расходов средств гранта в соответствии с действующим законодательством и доступ к данной информации;</w:t>
      </w:r>
      <w:r>
        <w:rPr>
          <w:rFonts w:eastAsiaTheme="minorEastAsia"/>
          <w:sz w:val="26"/>
          <w:szCs w:val="26"/>
          <w:highlight w:val="white"/>
        </w:rPr>
      </w:r>
      <w:r>
        <w:rPr>
          <w:rFonts w:eastAsiaTheme="minorEastAsia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rFonts w:ascii="TimesNewRoman" w:hAnsi="TimesNewRoman" w:eastAsia="TimesNewRoman" w:cs="TimesNewRoman"/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 xml:space="preserve">отсутствие 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  <w:t xml:space="preserve">у претендента задолженности по заработной плате;</w:t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</w:r>
      <w:r>
        <w:rPr>
          <w:rFonts w:ascii="TimesNewRoman" w:hAnsi="TimesNewRoman" w:eastAsia="TimesNewRoman" w:cs="TimesNewRoman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rFonts w:eastAsiaTheme="minorEastAsia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претендент не является или ранее не являлся получателем средств финансовой поддержки на развитие местных брендов</w:t>
      </w:r>
      <w:r>
        <w:rPr>
          <w:rFonts w:eastAsiaTheme="minorEastAsia"/>
          <w:sz w:val="26"/>
          <w:szCs w:val="26"/>
        </w:rPr>
        <w:t xml:space="preserve">.</w:t>
      </w:r>
      <w:r>
        <w:rPr>
          <w:rFonts w:eastAsiaTheme="minorEastAsia"/>
          <w:sz w:val="26"/>
          <w:szCs w:val="26"/>
          <w:highlight w:val="white"/>
        </w:rPr>
      </w:r>
      <w:r>
        <w:rPr>
          <w:rFonts w:eastAsiaTheme="minorEastAsia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  <w:highlight w:val="white"/>
        </w:rPr>
        <w:t xml:space="preserve">9. </w:t>
      </w:r>
      <w:r>
        <w:rPr>
          <w:b/>
          <w:bCs/>
          <w:sz w:val="26"/>
          <w:szCs w:val="26"/>
          <w:highlight w:val="white"/>
        </w:rPr>
        <w:t xml:space="preserve">Расходование гранта </w:t>
      </w:r>
      <w:r>
        <w:rPr>
          <w:sz w:val="26"/>
          <w:szCs w:val="26"/>
          <w:highlight w:val="white"/>
        </w:rPr>
        <w:t xml:space="preserve">осуществляется по безналичному расчету. Гранты предоставляются и могут быть использованы только на финансовое обеспечение затрат, предусматривающих расходы на: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приобретение, строительство, ремонт и переустройство, аренду (не более 3 месяцев) производственных и складских зданий, необходимых для осуществления предпринимательской деятельности в рамках реализации проекта развития местных брендов;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приобретение, строительство, ремонт и переустройство, аренду (не более 3 месяцев) помещений, необходимых для осуществления предпринимательской деятельности в рамках реализации проекта развития местных брендов;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приобретение, строительство, ремонт и переустройство, аренду (не более 3 месяцев) сооружений, необходимых для осуществления предпринимательской деятельности в рамках реализации проекта развития местных брендов;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подключение производственных и складских зданий, необходимых для осуществления предпринимательской деятельности в рамках реализации проекта развития местных брендов, к электрическим, водо-, газо- и теплопроводным сетям;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подключение помещений, необходимых для осуществления предпринимательской деятельности в рамках реализации проекта развития местных брендов, к электрическим, водо-, газо- и теплопроводным сетям;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подключение сооружений, необходимых для осуществления предпринимательской деятельности в рамках реализации проекта развития местных брендов, к электрическим, водо-, газо- и теплопроводным сетям;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приобретение оборудования, мебели, материалов, инвентаря</w:t>
      </w:r>
      <w:r>
        <w:rPr>
          <w:sz w:val="26"/>
          <w:szCs w:val="26"/>
        </w:rPr>
        <w:t xml:space="preserve"> (на приобретение инвентаря и материалов направляется не более 20 процентов от суммы предоставленного гранта).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на участие в выставочно-ярмарочных мероприятиях на территории Российской Федерации (регистрационный сбор, аренда выставочной площади и оборудования)</w:t>
      </w:r>
      <w:r>
        <w:rPr>
          <w:sz w:val="26"/>
          <w:szCs w:val="26"/>
        </w:rPr>
        <w:t xml:space="preserve"> не более 20 процентов от суммы предоставленного гранта.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/>
      <w:bookmarkStart w:id="4" w:name="Пункт10объявление"/>
      <w:r>
        <w:rPr>
          <w:rFonts w:eastAsiaTheme="minorEastAsia"/>
          <w:sz w:val="26"/>
          <w:szCs w:val="26"/>
          <w:highlight w:val="white"/>
        </w:rPr>
        <w:t xml:space="preserve">10.</w:t>
      </w:r>
      <w:bookmarkEnd w:id="4"/>
      <w:r>
        <w:rPr>
          <w:rFonts w:eastAsiaTheme="minorEastAsia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В целях проведения конкурса управление не позднее 30</w:t>
      </w:r>
      <w:r>
        <w:rPr>
          <w:sz w:val="26"/>
          <w:szCs w:val="26"/>
          <w:highlight w:val="white"/>
          <w:shd w:val="clear" w:color="auto" w:fill="ffffff"/>
        </w:rPr>
        <w:t xml:space="preserve"> сентября текущего года размещает на едином </w:t>
      </w:r>
      <w:bookmarkStart w:id="5" w:name="_Hlk91236973"/>
      <w:r>
        <w:rPr>
          <w:sz w:val="26"/>
          <w:szCs w:val="26"/>
          <w:highlight w:val="white"/>
          <w:shd w:val="clear" w:color="auto" w:fill="ffffff"/>
        </w:rPr>
        <w:t xml:space="preserve">портале </w:t>
      </w:r>
      <w:bookmarkEnd w:id="5"/>
      <w:r>
        <w:rPr>
          <w:sz w:val="26"/>
          <w:szCs w:val="26"/>
          <w:highlight w:val="white"/>
          <w:shd w:val="clear" w:color="auto" w:fill="ffffff"/>
        </w:rPr>
        <w:t xml:space="preserve">и на сайте управлени</w:t>
      </w:r>
      <w:r>
        <w:rPr>
          <w:sz w:val="26"/>
          <w:szCs w:val="26"/>
          <w:highlight w:val="white"/>
        </w:rPr>
        <w:t xml:space="preserve">я </w:t>
      </w:r>
      <w:r>
        <w:rPr>
          <w:b/>
          <w:bCs/>
          <w:sz w:val="26"/>
          <w:szCs w:val="26"/>
          <w:highlight w:val="white"/>
        </w:rPr>
        <w:t xml:space="preserve">объявление </w:t>
      </w:r>
      <w:r>
        <w:rPr>
          <w:sz w:val="26"/>
          <w:szCs w:val="26"/>
          <w:highlight w:val="white"/>
        </w:rPr>
        <w:t xml:space="preserve">о проведении конкурса с указанием: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сроков проведения конкурса, даты начала подачи или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конкурса;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наименования, места нахождения, почтового адреса, адреса электронной почты управления;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результата предоставления гранта;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доменное имя и (или) указатели страниц государственной информационной системы в сети «Интернет», </w:t>
      </w:r>
      <w:r>
        <w:rPr>
          <w:sz w:val="26"/>
          <w:szCs w:val="26"/>
          <w:highlight w:val="white"/>
        </w:rPr>
        <w:t xml:space="preserve">на котором обеспечивается проведение конкурса</w:t>
      </w:r>
      <w:r>
        <w:rPr>
          <w:color w:val="000000"/>
          <w:sz w:val="26"/>
          <w:szCs w:val="26"/>
          <w:highlight w:val="white"/>
        </w:rPr>
        <w:t xml:space="preserve">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требований и условий к претендентам, определенные в соответствии с пунктами 7 и 8</w:t>
      </w:r>
      <w:r>
        <w:rPr>
          <w:sz w:val="26"/>
          <w:szCs w:val="26"/>
          <w:highlight w:val="white"/>
        </w:rPr>
        <w:t xml:space="preserve"> настоящего Порядка</w:t>
      </w:r>
      <w:r>
        <w:rPr>
          <w:color w:val="000000"/>
          <w:sz w:val="26"/>
          <w:szCs w:val="26"/>
          <w:highlight w:val="white"/>
        </w:rPr>
        <w:t xml:space="preserve">, которым претендент должен соответствовать на дату, определенную настоящим Порядком, и к перечню документов, представляемых претендентами для подтверждения соответствия указанным требованиям;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категории и критерии оценки, указанных в настоящем Порядке;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порядка подачи заявок и требований, предъявляемых к форме и содержанию заявок</w:t>
      </w:r>
      <w:r>
        <w:rPr>
          <w:sz w:val="26"/>
          <w:szCs w:val="26"/>
          <w:highlight w:val="white"/>
        </w:rPr>
        <w:t xml:space="preserve">, в соответствии с настоящем Порядком;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порядка отзыва заявок, порядка возврата заявок, определяющего, в том числе, основания для их возврата, порядка внесения изменений в заявки;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правила рассмотрения и оценки заявок;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порядка возврата заявок на доработку;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порядка отклонения заявок, а также информацию об основаниях их отклонения;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объема распределяемых грантов в рамках конкурса, порядка расчета размера грантов, установленного настоящим Порядком, правил распределения грантов по результатам конкурса;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порядка предоставления претендентам разъяснений положений объявления о проведении конкурса, даты начала и окончания срока такого предоставления;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порядка оценки заявок, включающего критерии оце</w:t>
      </w:r>
      <w:r>
        <w:rPr>
          <w:sz w:val="26"/>
          <w:szCs w:val="26"/>
          <w:highlight w:val="white"/>
        </w:rPr>
        <w:t xml:space="preserve">нки, показатели критериев оценки, и их весовое значение в общей оценке, необходимую для представления претендентом информацию по каждому критерию оценки, показателю критерия оценки, сведения, документы и материалы, подтверждающие такую информацию, минималь</w:t>
      </w:r>
      <w:r>
        <w:rPr>
          <w:sz w:val="26"/>
          <w:szCs w:val="26"/>
          <w:highlight w:val="white"/>
        </w:rPr>
        <w:t xml:space="preserve">ный проходной балл, который необходимо набрать по результатам оценки заявок претендентом для признания их победителями конкурса, сроки оценки заявок, а также информацию об участии или неучастии комиссии и экспертов (экспертных организаций) в оценке заявок;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срок, в течение которого победители конкурса должен подписать соглашение о представлении гранта (далее – соглашение);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условия признания победителей конкурса уклонившимся от заключения соглашения;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hd w:val="clear" w:color="ffffff" w:themeColor="background1" w:fill="ffffff" w:themeFill="background1"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сроки размещения протокола подведения итогов конкурса/документа об итогах проведения конкурса (далее – протокол) на едином портале, </w:t>
      </w:r>
      <w:r>
        <w:rPr>
          <w:sz w:val="26"/>
          <w:szCs w:val="26"/>
          <w:highlight w:val="white"/>
        </w:rPr>
        <w:t xml:space="preserve">а также на сайте управления, которые не могут быть позднее 14-го календарного дня, следующего за днем определения победителя конкурса.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11. Претендент в сроки, указанные в объявлении о проведении конкурса, размещенном на едином портале и на сайте управления в соответствии с Порядком, представляет в управление </w:t>
      </w:r>
      <w:hyperlink w:tooltip="#P265" w:anchor="P265" w:history="1">
        <w:r>
          <w:rPr>
            <w:color w:val="000000"/>
            <w:sz w:val="26"/>
            <w:szCs w:val="26"/>
            <w:highlight w:val="white"/>
          </w:rPr>
          <w:t xml:space="preserve">заявку</w:t>
        </w:r>
      </w:hyperlink>
      <w:r>
        <w:rPr>
          <w:color w:val="000000"/>
          <w:sz w:val="26"/>
          <w:szCs w:val="26"/>
          <w:highlight w:val="white"/>
        </w:rPr>
        <w:t xml:space="preserve"> по форме согласно приложению 1 к настоящему Порядку с приложением следующих документов: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копии учредительных документов;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копии протокола о назначении единоличного исполнительного органа (генеральный директор, директор, и т.д.) (при наличии);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trike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копии приказа о вступлении в должность единоличного исполнительного органа (генеральный директор, директор, и т.д.) (при наличии); </w:t>
      </w:r>
      <w:r>
        <w:rPr>
          <w:strike/>
          <w:sz w:val="26"/>
          <w:szCs w:val="26"/>
          <w:highlight w:val="white"/>
        </w:rPr>
      </w:r>
      <w:r>
        <w:rPr>
          <w:strike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trike/>
          <w:sz w:val="26"/>
          <w:szCs w:val="26"/>
          <w:highlight w:val="white"/>
        </w:rPr>
      </w:pPr>
      <w:r>
        <w:rPr>
          <w:sz w:val="26"/>
          <w:szCs w:val="26"/>
        </w:rPr>
        <w:t xml:space="preserve">копия приказа о назначении главного бухгалтера (при наличии);</w:t>
      </w:r>
      <w:r>
        <w:rPr>
          <w:strike/>
          <w:sz w:val="26"/>
          <w:szCs w:val="26"/>
          <w:highlight w:val="white"/>
        </w:rPr>
      </w:r>
      <w:r>
        <w:rPr>
          <w:strike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копии документов, удостоверяющих личность (копия паспорта) лица, исполняющего функции единоличного исполнительного органа, главного бухгалтера, индивидуального предпринимателя;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pBdr/>
        <w:spacing/>
        <w:ind w:firstLine="567" w:left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проекта;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0"/>
        <w:pBdr/>
        <w:spacing/>
        <w:ind w:firstLine="567" w:left="0"/>
        <w:jc w:val="both"/>
        <w:rPr>
          <w:bCs/>
          <w:strike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случае строительства, реконструкции зданий, помещений, предназначенных для осуществления предп</w:t>
      </w:r>
      <w:r>
        <w:rPr>
          <w:sz w:val="26"/>
          <w:szCs w:val="26"/>
          <w:highlight w:val="white"/>
        </w:rPr>
        <w:t xml:space="preserve">ринимательской деятельности в рамках реализации проекта, предоставляются разрешительная, согласовательная документация, проектная документация, разработанная строительными организациями, имеющими право (лицензию) на проведение проектных работ (при наличии)</w:t>
      </w:r>
      <w:r>
        <w:rPr>
          <w:bCs/>
          <w:sz w:val="26"/>
          <w:szCs w:val="26"/>
          <w:highlight w:val="white"/>
        </w:rPr>
        <w:t xml:space="preserve">;</w:t>
      </w:r>
      <w:r>
        <w:rPr>
          <w:bCs/>
          <w:strike/>
          <w:sz w:val="26"/>
          <w:szCs w:val="26"/>
          <w:highlight w:val="white"/>
        </w:rPr>
        <w:t xml:space="preserve"> </w:t>
      </w:r>
      <w:r>
        <w:rPr>
          <w:bCs/>
          <w:strike/>
          <w:sz w:val="26"/>
          <w:szCs w:val="26"/>
          <w:highlight w:val="white"/>
        </w:rPr>
      </w:r>
      <w:r>
        <w:rPr>
          <w:bCs/>
          <w:strike/>
          <w:sz w:val="26"/>
          <w:szCs w:val="26"/>
          <w:highlight w:val="white"/>
        </w:rPr>
      </w:r>
    </w:p>
    <w:p>
      <w:pPr>
        <w:pBdr/>
        <w:shd w:val="clear" w:color="auto" w:fill="ffffff"/>
        <w:spacing/>
        <w:ind w:firstLine="56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копии </w:t>
      </w:r>
      <w:r>
        <w:rPr>
          <w:color w:val="000000" w:themeColor="text1"/>
          <w:sz w:val="26"/>
          <w:szCs w:val="26"/>
          <w:highlight w:val="white"/>
        </w:rPr>
        <w:t xml:space="preserve">свидетельства на товарный знак (знак обслуживания)</w:t>
      </w:r>
      <w:r>
        <w:rPr>
          <w:sz w:val="26"/>
          <w:szCs w:val="26"/>
          <w:highlight w:val="white"/>
        </w:rPr>
        <w:t xml:space="preserve">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hd w:val="clear" w:color="auto" w:fill="ffffff"/>
        <w:spacing/>
        <w:ind w:firstLine="567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информации о том, что среднемесячная заработная плата за квартал, предшествующий дате подачи заявки, составляет</w:t>
      </w:r>
      <w:r>
        <w:rPr>
          <w:sz w:val="26"/>
          <w:szCs w:val="26"/>
        </w:rPr>
        <w:t xml:space="preserve"> для работников претендента - не менее 100% от среднемесячной заработной</w:t>
      </w:r>
      <w:r>
        <w:rPr>
          <w:sz w:val="26"/>
          <w:szCs w:val="26"/>
        </w:rPr>
        <w:t xml:space="preserve"> платы работников за предшествующий финансовый год по микро, малым и средним предприятиям по соответствующей отрасли в Липецкой области, и превышает размер минимальной заработной платы, установленный на текущий финансовый год в соответствии с региональным </w:t>
      </w:r>
      <w:r>
        <w:rPr>
          <w:sz w:val="26"/>
          <w:szCs w:val="26"/>
        </w:rPr>
        <w:t xml:space="preserve">соглашением о минимальной заработной плате в Липецкой области (при наличии у претендента работников) по форме, согласно приложению 2 к настоящему Порядку;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hd w:val="clear" w:color="auto" w:fill="ffffff"/>
        <w:spacing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документов, подтверждающие н</w:t>
      </w:r>
      <w:r>
        <w:rPr>
          <w:bCs/>
          <w:sz w:val="26"/>
          <w:szCs w:val="26"/>
        </w:rPr>
        <w:t xml:space="preserve">аличие у претендента необходимой для реализации проекта материально-технической базы</w:t>
      </w:r>
      <w:r>
        <w:rPr>
          <w:b/>
          <w:bCs/>
          <w:sz w:val="26"/>
          <w:szCs w:val="26"/>
        </w:rPr>
        <w:t xml:space="preserve"> (</w:t>
      </w:r>
      <w:r>
        <w:rPr>
          <w:sz w:val="26"/>
          <w:szCs w:val="26"/>
        </w:rPr>
        <w:t xml:space="preserve">земельных участков, зданий, сооружений, помещений, предназначенных для осуществления предпринимательской деятельности) в собственности или на праве аренды;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hd w:val="clear" w:color="auto" w:fill="ffffff"/>
        <w:spacing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копии документов, подтверждающие наличие у претендента кадров с профессиональными знаниями и квалификацией, необходимыми для реализации проекта;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0"/>
        <w:pBdr/>
        <w:shd w:val="clear" w:color="auto" w:fill="ffffff"/>
        <w:spacing/>
        <w:ind w:firstLine="567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справку об отсутствии задолженности по заработной плате перед работниками на дату подачи документов;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согласия претендента на публикацию (размещение) на едином портале и на сайте управления информации о претенденте, о подаваемой им заявке и иной информации о претенденте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Претендент вправе представить оригиналы указанных в настоящем пункте документов по собственной инициативе.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Один претендент может подать только одну заявку.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Заявка и прилагаемые к ней документы (копии документов) должны быть прошиты, пронумерованы, скреплены подписью претендента и предоставлены в соответствии с описью документов, составленной в 2 экземплярах.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trike/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</w:rPr>
        <w:t xml:space="preserve">При представлении документов руководителем претендента предъявляется д</w:t>
      </w:r>
      <w:r>
        <w:rPr>
          <w:color w:val="000000"/>
          <w:sz w:val="26"/>
          <w:szCs w:val="26"/>
        </w:rPr>
        <w:t xml:space="preserve">окумент, удостоверяющий его личность. При представлении документов представителем претендента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 </w:t>
      </w:r>
      <w:r>
        <w:rPr>
          <w:strike/>
          <w:color w:val="000000"/>
          <w:sz w:val="26"/>
          <w:szCs w:val="26"/>
          <w:highlight w:val="white"/>
        </w:rPr>
      </w:r>
      <w:r>
        <w:rPr>
          <w:strike/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Заявки и прилагаемые к ним документы, представленные позже срока, указанного в объявлении о проведении конкурса, к рассмотрению не принимаются.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Регистрация представленных заявок и прилагаемых к ним документов осуществляется в день их поступления должностным лицом, уполномоченным приказом управления на прием документов (далее - уполномоченное лицо), в порядке, утвержденном приказом управления.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случае подачи заявки и пакета документов через Цифровую платформу МСП (</w:t>
      </w:r>
      <w:hyperlink r:id="rId19" w:tooltip="&lt;div class=&quot;doc www&quot;&gt;&lt;span class=&quot;aligner&quot;&gt;&lt;div class=&quot;icon listDocWWW-16&quot;&gt;&lt;/div&gt;&lt;/span&gt;https://мсп.рф&lt;/div&gt;" w:history="1">
        <w:r>
          <w:rPr>
            <w:rStyle w:val="857"/>
            <w:color w:val="0000ff"/>
            <w:sz w:val="26"/>
            <w:szCs w:val="26"/>
            <w:highlight w:val="white"/>
          </w:rPr>
          <w:t xml:space="preserve">https://мсп.рф</w:t>
        </w:r>
      </w:hyperlink>
      <w:r>
        <w:rPr>
          <w:color w:val="000000"/>
          <w:sz w:val="26"/>
          <w:szCs w:val="26"/>
          <w:highlight w:val="white"/>
        </w:rPr>
        <w:t xml:space="preserve">) (далее - ЦП МСП):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Претендент, представляет заявку и перечень документов, предусмотренных настоящим пунктом, в электронной форме посредством ЦП МСП.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Для представления заявки претенден</w:t>
      </w:r>
      <w:r>
        <w:rPr>
          <w:color w:val="000000"/>
          <w:sz w:val="26"/>
          <w:szCs w:val="26"/>
          <w:highlight w:val="white"/>
        </w:rPr>
        <w:t xml:space="preserve">т авторизуется на ЦП МСП, затем заполняет заявление с использованием специальной интерактивной формы в электронном виде и подписывает электронной подписью (далее - ЭП). Электронные образы документов согласно пункту 11 к настоящему Порядку подписываются ЭП.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 xml:space="preserve">12. </w:t>
      </w:r>
      <w:r>
        <w:rPr>
          <w:sz w:val="26"/>
          <w:szCs w:val="26"/>
          <w:highlight w:val="white"/>
        </w:rPr>
        <w:t xml:space="preserve">Уполномоченное лицо в течение 5 рабочих дней со дня, следующего за днем окончания срока подачи заявок, указанного в объявлении о проведении конкурса, в рамках межведомственного взаимодействия запрашивает следующие документы: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rFonts w:eastAsia="TimesNewRoman"/>
          <w:sz w:val="26"/>
          <w:szCs w:val="26"/>
          <w:highlight w:val="white"/>
        </w:rPr>
        <w:t xml:space="preserve">информацию налогового органа об отсутствии у претендента на едином налоговом счете или о не превышающим размере, определенном </w:t>
      </w:r>
      <w:hyperlink r:id="rId20" w:tooltip="https://login.consultant.ru/link/?req=doc&amp;base=LAW&amp;n=472841&amp;date=06.06.2024&amp;dst=5769&amp;field=134" w:history="1">
        <w:r>
          <w:rPr>
            <w:rFonts w:eastAsia="TimesNewRoman"/>
            <w:color w:val="0000ff"/>
            <w:sz w:val="26"/>
            <w:szCs w:val="26"/>
            <w:highlight w:val="white"/>
          </w:rPr>
          <w:t xml:space="preserve">пунктом 3 статьи 47</w:t>
        </w:r>
      </w:hyperlink>
      <w:r>
        <w:rPr>
          <w:rFonts w:eastAsia="TimesNewRoman"/>
          <w:sz w:val="26"/>
          <w:szCs w:val="26"/>
          <w:highlight w:val="white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на дату формирования справки, но не ранее даты подачи заявки.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информацию управления финансов Липецкой области об отсутствии просроченной задолженности по возврату в областной бюджет иных субсидий, бюджетных инвестиций на дату подачи заявки;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информацию управления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 на дату подачи заявки.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Претендент</w:t>
      </w:r>
      <w:r>
        <w:rPr>
          <w:sz w:val="26"/>
          <w:szCs w:val="26"/>
          <w:highlight w:val="white"/>
        </w:rPr>
        <w:t xml:space="preserve"> вправе представить оригиналы указанных документов по собственной инициативе.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13. В течение 15 рабочих дней со дня, следующего за днем окончания срока подачи заявок, указанного в объявлении о проведении конкурса: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1) уполномоченное лицо: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рассматривает документы, указанные в пунктах 11 и 12 настоящего Порядка, проводит проверку на соответствие предъявляемым настоящим Порядком требованиям;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принимает решение о допуске (об отказе в допуске) претендентов к участию в конкурсе;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оформляет принятое решение актом;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подготавливает проект приказа управления с отражением в нем следующей информации: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перечня претендентов, заявки которых были рассмотрены;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перечня претендентов, заявки которых допущены к участию в конкурсе;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перечень претендентов, заявки которых были отклонены, с указанием причин их отклонения, в том числе положений настоящего Порядка, которым не соответствуют такие заявки;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95" w:lineRule="exact"/>
        <w:ind w:right="22" w:firstLine="709"/>
        <w:jc w:val="both"/>
        <w:rPr>
          <w:iCs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2) начальник управления подписывает приказ, подготовленный в соответствии с требованиями настоящего Порядка (далее - приказ об утверждении перечня претендентов, заявки которых допущены (отклонены) к участию в конкурсе);</w:t>
      </w:r>
      <w:r>
        <w:rPr>
          <w:iCs/>
          <w:sz w:val="26"/>
          <w:szCs w:val="26"/>
          <w:highlight w:val="white"/>
        </w:rPr>
      </w:r>
      <w:r>
        <w:rPr>
          <w:iCs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3) уполномоченное лицо: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widowControl w:val="false"/>
        <w:pBdr/>
        <w:shd w:val="clear" w:color="auto" w:fill="ffffff"/>
        <w:tabs>
          <w:tab w:val="left" w:leader="none" w:pos="1152"/>
        </w:tabs>
        <w:spacing w:line="295" w:lineRule="exact"/>
        <w:ind w:right="22" w:firstLine="567"/>
        <w:jc w:val="both"/>
        <w:rPr>
          <w:iCs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размещает п</w:t>
      </w:r>
      <w:r>
        <w:rPr>
          <w:sz w:val="26"/>
          <w:szCs w:val="26"/>
          <w:highlight w:val="white"/>
        </w:rPr>
        <w:t xml:space="preserve">риказ об утверждении перечня претендентов, заявки которых допущены (отклонены) к участию в конкурсе</w:t>
      </w:r>
      <w:r>
        <w:rPr>
          <w:iCs/>
          <w:color w:val="000000"/>
          <w:sz w:val="26"/>
          <w:szCs w:val="26"/>
          <w:highlight w:val="white"/>
          <w:shd w:val="clear" w:color="auto" w:fill="ffffff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на сайте управления и на едином портале;</w:t>
      </w:r>
      <w:r>
        <w:rPr>
          <w:iCs/>
          <w:sz w:val="26"/>
          <w:szCs w:val="26"/>
          <w:highlight w:val="white"/>
        </w:rPr>
      </w:r>
      <w:r>
        <w:rPr>
          <w:iCs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направляет претендентам, допущенным к участию в конкурсе (далее - </w:t>
      </w:r>
      <w:r>
        <w:rPr>
          <w:b/>
          <w:bCs/>
          <w:color w:val="000000"/>
          <w:sz w:val="26"/>
          <w:szCs w:val="26"/>
          <w:highlight w:val="white"/>
        </w:rPr>
        <w:t xml:space="preserve">участники конкурса</w:t>
      </w:r>
      <w:r>
        <w:rPr>
          <w:color w:val="000000"/>
          <w:sz w:val="26"/>
          <w:szCs w:val="26"/>
          <w:highlight w:val="white"/>
        </w:rPr>
        <w:t xml:space="preserve">), уведомления с указанием места, даты и времени проведения конкурса;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направляет претендентам, не допущенным к участию в конкурсе, уведомления с указанием причин отказа в допуске к участию в конкурсе.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14. </w:t>
      </w:r>
      <w:r>
        <w:rPr>
          <w:sz w:val="26"/>
          <w:szCs w:val="26"/>
          <w:highlight w:val="white"/>
        </w:rPr>
        <w:t xml:space="preserve">Основания для отклонения заявок: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несоответствие претендента условиям и требованиям, установленным настоящим Порядком;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непредставление (представление не в полном объеме) документов, указанных в объявлении о проведении конкурса, предусмотренных настоящим Порядком;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несоответствие представленных претендентом заявок и (или) документов требованиям, установленным в объявлении о проведении конкурса, предусмотренных настоящим Порядком;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недостоверность информации, содержащейся в документах, представленных претендентом в целях подтверждения соответствия установленным настоящим Порядком требованиям;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несоответствие претендента категории, установленной настоящим Порядком;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подача претендентом заявки после даты и (или) времени, определенных для подачи заявок в объявлении о проведении конкурса;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наличие принятой и зарегистрированной заявки претендента, которая не была им отозвана, в случае подачи заявки лично на бумажном носителе и через ЦП МСП;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неустранение оснований для приостановления приема и регистрации заявки при представлении документов и (или) пояснений в случае подачи заявки через ЦП МСП.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Основаниями для приостановления приема и регистрации заявки на ЦП МСП являются: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1) непредставление (представление не в полном объеме) документов, установленных в пункте 11 к настоящему Порядку;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2) некорректное заполнение обязательных полей заявления на ЦП МСП (отсутствие заполнения, недостоверное, неполное или неправильное, не соответствующее требованиям, установленным настоящим Порядком);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3) представление электронных образов документов посредством ЦП МСП не позволяет в полном объеме прочитать текст документа и (или) распознать обязательные реквизиты документов;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4) наличие нечитаемых исправлений в представленных документах.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Отказ в приеме и</w:t>
      </w:r>
      <w:r>
        <w:rPr>
          <w:color w:val="000000"/>
          <w:sz w:val="26"/>
          <w:szCs w:val="26"/>
          <w:highlight w:val="white"/>
        </w:rPr>
        <w:t xml:space="preserve"> регистрации заявки или возврат заявки без рассмотрения (далее - аннулирование заявки) через ЦП МСП не препятствует повторному обращению претендента за предоставлением гранта до даты окончания приема заявок, установленной объявлением о проведении конкурса.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Претендент представляет документы и (или) пояснения, касающиеся сведений и данных, указанных в заявке, в срок не более 4 рабочих дней со дня направления Уведомления о представлении документов в личный кабинет претендента ЦП МСП.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случае устранения претендентом оснований для приостановления приема и регис</w:t>
      </w:r>
      <w:r>
        <w:rPr>
          <w:sz w:val="26"/>
          <w:szCs w:val="26"/>
          <w:highlight w:val="white"/>
        </w:rPr>
        <w:t xml:space="preserve">трации заявки, установленных настоящим Порядком, Управление регистрирует заявку в журнале регистрации не позднее 1 рабочего дня со дня представления претендентом дополнительных документов и (или) пояснений, касающихся сведений и данных, указанных в заявке.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случае неустранения претендентом оснований для приостановления приема и регистрации за</w:t>
      </w:r>
      <w:r>
        <w:rPr>
          <w:sz w:val="26"/>
          <w:szCs w:val="26"/>
          <w:highlight w:val="white"/>
        </w:rPr>
        <w:t xml:space="preserve">явки, установленных настоящим Порядком, Управление отказывает в приеме и регистрации заявки на ЦП МСП не позднее 1 рабочего дня со дня представления претендентом дополнительных документов и (или) пояснений, касающихся сведений и данных, указанных в заявке.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случае непредставления претендентом документов и (или) пояснений, касающихся сведений и данных, указанных в заявке, в срок, установленный настоящим пунктом Порядка, заявка аннулируется.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15. Уполномоченное лицо в течение 5 рабочих дней со дня, следующего за днем размещения на едином портале и сайте управления приказа об утверждении перечня претендентов, </w:t>
      </w:r>
      <w:r>
        <w:rPr>
          <w:sz w:val="26"/>
          <w:szCs w:val="26"/>
          <w:highlight w:val="white"/>
        </w:rPr>
        <w:t xml:space="preserve">заявки которых допущены (отклонены) к участию в конкурсе</w:t>
      </w:r>
      <w:r>
        <w:rPr>
          <w:color w:val="000000"/>
          <w:sz w:val="26"/>
          <w:szCs w:val="26"/>
          <w:highlight w:val="white"/>
        </w:rPr>
        <w:t xml:space="preserve">, передает документы участников конкурса на рассмотрение конкурсной комиссии.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16. Положение о конкурсной комиссии и ее составе утверждаются приказом управления.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состав конкурсной комиссии входят лица, замещающие должности государственной гражданской службы в управлении, представит</w:t>
      </w:r>
      <w:r>
        <w:rPr>
          <w:color w:val="000000"/>
          <w:sz w:val="26"/>
          <w:szCs w:val="26"/>
          <w:highlight w:val="white"/>
        </w:rPr>
        <w:t xml:space="preserve">ели отраслевых органов исполнительной власти Липецкой области, региональной инфраструктуры поддержки малого и среднего предпринимательства Липецкой области, ассоциаций, союзов и иных объединений предпринимателей, действующих на территории Липецкой области.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Количественный состав конкурсной комиссии должен составлять не менее девяти человек.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 w:themeColor="text1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17. </w:t>
      </w:r>
      <w:r>
        <w:rPr>
          <w:color w:val="000000" w:themeColor="text1"/>
          <w:sz w:val="26"/>
          <w:szCs w:val="26"/>
          <w:highlight w:val="white"/>
        </w:rPr>
        <w:t xml:space="preserve">Конкурсная комиссия в течение 10 рабочих дней со дня, следующего за нем получени</w:t>
      </w:r>
      <w:r>
        <w:rPr>
          <w:color w:val="000000" w:themeColor="text1"/>
          <w:sz w:val="26"/>
          <w:szCs w:val="26"/>
          <w:highlight w:val="white"/>
        </w:rPr>
        <w:t xml:space="preserve">я документов, проводит оценку представленных документов и проектов исходя из наилучших условий достижения результатов предоставления гранта для обеспечения реализации проекта в порядке, установленном настоящим Порядком, и оформляет свое решение протоколом.</w:t>
      </w:r>
      <w:r>
        <w:rPr>
          <w:color w:val="000000" w:themeColor="text1"/>
          <w:sz w:val="26"/>
          <w:szCs w:val="26"/>
          <w:highlight w:val="white"/>
        </w:rPr>
      </w:r>
      <w:r>
        <w:rPr>
          <w:color w:val="000000" w:themeColor="text1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18. Оценка проектов, представленных в составе заявок претендентов, осуществляется по балльной системе.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Каждый член конкурсной комиссии, принимающий участие в ее заседании, в оценочном листе выставляет проекту, представленному в составе заявки претендента, соответствующий балл по каждому критерию оценки в соответствии с </w:t>
      </w:r>
      <w:hyperlink w:tooltip="#P125" w:anchor="P125" w:history="1">
        <w:r>
          <w:rPr>
            <w:color w:val="000000"/>
            <w:sz w:val="26"/>
            <w:szCs w:val="26"/>
            <w:highlight w:val="white"/>
          </w:rPr>
          <w:t xml:space="preserve">таблицей</w:t>
        </w:r>
      </w:hyperlink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настоящего пункта.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Оценка проекта участника конкурса по критериям оценки, указанным в </w:t>
      </w:r>
      <w:hyperlink w:tooltip="#P177" w:anchor="P177" w:history="1">
        <w:r>
          <w:rPr>
            <w:color w:val="000000"/>
            <w:sz w:val="26"/>
            <w:szCs w:val="26"/>
            <w:highlight w:val="white"/>
          </w:rPr>
          <w:t xml:space="preserve">строке 5</w:t>
        </w:r>
      </w:hyperlink>
      <w:r>
        <w:rPr>
          <w:color w:val="000000"/>
          <w:sz w:val="26"/>
          <w:szCs w:val="26"/>
          <w:highlight w:val="white"/>
        </w:rPr>
        <w:t xml:space="preserve"> таблицы настоящего пункта, осуществляется конкурсной комиссией на основании презентации проекта участником конкурса или представителем участника конкурса в форме очного собеседования или видео-конференц-связи (да</w:t>
      </w:r>
      <w:r>
        <w:rPr>
          <w:color w:val="000000"/>
          <w:sz w:val="26"/>
          <w:szCs w:val="26"/>
          <w:highlight w:val="white"/>
        </w:rPr>
        <w:t xml:space="preserve">лее - презентация проекта), которое включает рассмотрение информации по проекту, ответы на вопросы членов конкурсной комиссии в части обоснования расходования гранта, планируемых приобретений и планируемых производственно-экономических показателей проекта.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Участником конкурса и/или его представителем предъявляется документ, удостоверяющий его личность, а представителем также документ, подтверждающий его полномочия, оформленный в соответствии с действующим законодательством.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Критерии оценки проектов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Таблица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tbl>
      <w:tblPr>
        <w:tblW w:w="9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5608"/>
        <w:gridCol w:w="1852"/>
        <w:gridCol w:w="1417"/>
      </w:tblGrid>
      <w:tr>
        <w:trPr>
          <w:jc w:val="center"/>
        </w:trPr>
        <w:tc>
          <w:tcPr>
            <w:tcBorders/>
            <w:tcW w:w="624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№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п/п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Наименование критерия оценки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Максимальное количество баллов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Весовое значение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  <w:trHeight w:val="299"/>
        </w:trPr>
        <w:tc>
          <w:tcPr>
            <w:tcBorders/>
            <w:tcW w:w="624" w:type="dxa"/>
            <w:vMerge w:val="restart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5608" w:type="dxa"/>
            <w:vMerge w:val="restart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Срок существования бренда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vMerge w:val="restart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0,1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более 3-х лет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2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менее 3-х лет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color w:val="000000" w:themeColor="text1"/>
                <w:sz w:val="26"/>
                <w:szCs w:val="26"/>
                <w:highlight w:val="white"/>
              </w:rPr>
              <w:t xml:space="preserve">1</w:t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  <w:r>
              <w:rPr>
                <w:color w:val="000000" w:themeColor="text1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restart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у претендента необходимой для реализации проекта материально-технической базы (земельных участков, зданий, сооружений, помещений, предназначенных для осуществления предпринимательской деятельности)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</w:rPr>
              <w:t xml:space="preserve">0,1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имеется в собственности (общедолевой собственности), на праве аренды с приложением документального подтверждения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не имеется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у претендента кадров с профессиональными знаниями и квалификацией, необходимыми для реализации проекта</w:t>
            </w:r>
            <w:r>
              <w:rPr>
                <w:strike/>
                <w:sz w:val="26"/>
                <w:szCs w:val="26"/>
              </w:rPr>
            </w:r>
            <w:r>
              <w:rPr>
                <w:strike/>
                <w:sz w:val="26"/>
                <w:szCs w:val="26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0,05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приложены копии документов, подтверждающих квалификацию персонала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отсутствуют копии документов, подтверждающих квалификацию персонала для реализации проекта</w:t>
            </w:r>
            <w:r>
              <w:rPr>
                <w:sz w:val="26"/>
                <w:szCs w:val="26"/>
                <w:shd w:val="clear" w:color="auto" w:fill="ffffff"/>
              </w:rPr>
            </w:r>
            <w:r>
              <w:rPr>
                <w:sz w:val="26"/>
                <w:szCs w:val="26"/>
                <w:shd w:val="clear" w:color="auto" w:fill="ffffff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Планируется создание новых рабочих мест в период реализации проекта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0,2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свыше 3 рабочих мест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2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менее 3 рабочих мест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Оценка эффективности представленного проекта (оценивается по итогам презентации проекта) &lt;*&gt;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restart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0,55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один голос члена комиссии «за»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4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  <w:tr>
        <w:trPr>
          <w:jc w:val="center"/>
        </w:trPr>
        <w:tc>
          <w:tcPr>
            <w:tcBorders/>
            <w:tcW w:w="624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Borders/>
            <w:tcW w:w="5608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один голос члена комиссии «против»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Style w:val="872"/>
              <w:pBdr/>
              <w:spacing w:line="283" w:lineRule="atLeast"/>
              <w:ind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1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 w:line="0" w:lineRule="atLeast"/>
              <w:ind/>
              <w:contextualSpacing w:val="true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</w:tc>
      </w:tr>
    </w:tbl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--------------------------------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&lt;*&gt; В случае неявки участника конкурса на презентацию проекта соответствующему критерию оценки присваивается минимальное значение балла.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19. Количество баллов, присваиваемых каждому критерию оценки, определяется как среднее арифметическое оценок (в баллах) всех членов конкурсной комиссии, округленное до двух знаков после запятой, умноженное на весовое значение данного критерия оценки.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Итоговая оценка проекта, представленного в составе заявки, определяется как сумма полученных баллов по каждому критерию оценки.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Участники конкурса, итоговые оценки проектов, представленных в составе заявок, которых составили 1,73 балла и более, признаются претендентами на получение гранта (далее - </w:t>
      </w:r>
      <w:r>
        <w:rPr>
          <w:b/>
          <w:bCs/>
          <w:color w:val="000000"/>
          <w:sz w:val="26"/>
          <w:szCs w:val="26"/>
          <w:highlight w:val="white"/>
        </w:rPr>
        <w:t xml:space="preserve">претенденты на получение гранта</w:t>
      </w:r>
      <w:r>
        <w:rPr>
          <w:color w:val="000000"/>
          <w:sz w:val="26"/>
          <w:szCs w:val="26"/>
          <w:highlight w:val="white"/>
        </w:rPr>
        <w:t xml:space="preserve">).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На основании итоговой оценки проекта, представленного в составе заявки, конкурсной комиссией присваивается каждой заявке порядковый номер (в порядке уменьшения суммы набранных при оценке баллов).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Если две или более заявок набрали при проведении оценки проектов одинаковую сумму баллов, меньший порядковый номер присваивается заявке, имеющей наибольшее количество планируемых к созданию новых рабочих мест.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20. Протокол, указанный в пункте 17 настоящего Порядка (далее - протокол), в течение 1 рабочего дня со дня, следующего за днем его подписания всеми членами конкурсной комиссии, передается уполномоченному лицу управления.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 протоколу прикладывается общий рейтинг заявок, допущенных к конкурсу.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21. В течение 5 рабочих дней со дня, следующего за днем получения протокола, указанного в </w:t>
      </w:r>
      <w:hyperlink w:tooltip="#P118" w:anchor="P118" w:history="1">
        <w:r>
          <w:rPr>
            <w:color w:val="000000"/>
            <w:sz w:val="26"/>
            <w:szCs w:val="26"/>
            <w:highlight w:val="white"/>
          </w:rPr>
          <w:t xml:space="preserve">пункте 17</w:t>
        </w:r>
      </w:hyperlink>
      <w:r>
        <w:rPr>
          <w:color w:val="000000"/>
          <w:sz w:val="26"/>
          <w:szCs w:val="26"/>
          <w:highlight w:val="white"/>
        </w:rPr>
        <w:t xml:space="preserve"> настоящего Порядка: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1) уполномоченное лицо: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а) осуществляет распределение грантов между </w:t>
      </w:r>
      <w:r>
        <w:rPr>
          <w:color w:val="000000" w:themeColor="text1"/>
          <w:sz w:val="26"/>
          <w:szCs w:val="26"/>
          <w:highlight w:val="white"/>
        </w:rPr>
        <w:t xml:space="preserve">претендентами на получение гранта в размере, указанном в пункте 22 настоящего Порядке</w:t>
      </w:r>
      <w:r>
        <w:rPr>
          <w:color w:val="000000"/>
          <w:sz w:val="26"/>
          <w:szCs w:val="26"/>
          <w:highlight w:val="white"/>
        </w:rPr>
        <w:t xml:space="preserve">, в следующем порядке: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случае если совокупный объем запрашиваемых </w:t>
      </w:r>
      <w:r>
        <w:rPr>
          <w:color w:val="000000" w:themeColor="text1"/>
          <w:sz w:val="26"/>
          <w:szCs w:val="26"/>
          <w:highlight w:val="white"/>
        </w:rPr>
        <w:t xml:space="preserve">претендентами на получение гранта</w:t>
      </w:r>
      <w:r>
        <w:rPr>
          <w:color w:val="000000"/>
          <w:sz w:val="26"/>
          <w:szCs w:val="26"/>
          <w:highlight w:val="white"/>
        </w:rPr>
        <w:t xml:space="preserve"> согласно поданным на конкурс заявкам не превышает объема лимитов бюджетных обязательств, доведенных до управления, размер предоставляемого гранта устанавливается в объемах, указанных в заявках;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случае если совокупный объем запрашиваемых </w:t>
      </w:r>
      <w:r>
        <w:rPr>
          <w:color w:val="000000" w:themeColor="text1"/>
          <w:sz w:val="26"/>
          <w:szCs w:val="26"/>
          <w:highlight w:val="white"/>
        </w:rPr>
        <w:t xml:space="preserve">претендентами на получение гранта</w:t>
      </w:r>
      <w:r>
        <w:rPr>
          <w:color w:val="000000"/>
          <w:sz w:val="26"/>
          <w:szCs w:val="26"/>
          <w:highlight w:val="white"/>
        </w:rPr>
        <w:t xml:space="preserve"> согласно поданным на конкурс заявкам превышает объем лимитов бюджетных обязательств, доведенных до управления, размер предоставляемого гран</w:t>
      </w:r>
      <w:r>
        <w:rPr>
          <w:color w:val="000000"/>
          <w:sz w:val="26"/>
          <w:szCs w:val="26"/>
          <w:highlight w:val="white"/>
        </w:rPr>
        <w:t xml:space="preserve">та устанавливается исходя из сформированного рейтинга заявок в объемах, указанных в заявках. При недостаточности лимитов бюджетных обязательств, доведенных до управления, для обеспечения затрат, указанных в заявке в полном объеме, грант не предоставляется;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б) подготавливает проект приказа о предоставлении грантов из областного бюджета </w:t>
      </w:r>
      <w:r>
        <w:rPr>
          <w:color w:val="000000" w:themeColor="text1"/>
          <w:sz w:val="26"/>
          <w:szCs w:val="26"/>
          <w:highlight w:val="white"/>
        </w:rPr>
        <w:t xml:space="preserve">претендентами на получение гранта</w:t>
      </w:r>
      <w:r>
        <w:rPr>
          <w:color w:val="000000"/>
          <w:sz w:val="26"/>
          <w:szCs w:val="26"/>
          <w:highlight w:val="white"/>
        </w:rPr>
        <w:t xml:space="preserve"> (далее - приказ о предоставлении грантов), который включает следующие сведения: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дата, время и место оценки конкурсной комиссией;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информацию об участниках конкурса, документы которых были оценены конкурсной комиссией;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информацию об участниках конкурса, заявки которых были отклонены конкурсной комиссией;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 w:firstLine="540"/>
        <w:contextualSpacing w:val="tru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последовательность оц</w:t>
      </w:r>
      <w:r>
        <w:rPr>
          <w:color w:val="000000"/>
          <w:sz w:val="26"/>
          <w:szCs w:val="26"/>
          <w:highlight w:val="white"/>
        </w:rPr>
        <w:t xml:space="preserve">енки документов участников конкурса, присвоенные документам участников конкурса значения по каждому из предусмотренных критериев оценки, принятое на основании результатов оценки указанных документов решение о присвоении таким документам порядковых номеров;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2"/>
        <w:pBdr/>
        <w:spacing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наименование претендентов на получение  гранта, с которым заключается соглашение (далее – </w:t>
      </w:r>
      <w:r>
        <w:rPr>
          <w:b/>
          <w:bCs/>
          <w:sz w:val="26"/>
          <w:szCs w:val="26"/>
          <w:highlight w:val="white"/>
        </w:rPr>
        <w:t xml:space="preserve">получатели гранта</w:t>
      </w:r>
      <w:r>
        <w:rPr>
          <w:sz w:val="26"/>
          <w:szCs w:val="26"/>
          <w:highlight w:val="white"/>
        </w:rPr>
        <w:t xml:space="preserve">), и размер предоставляемого им гранта.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2) начальник управления рассматривает и подписывает приказ о предоставлении грантов либо возвращает проект приказа для доработки;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3) уполномоченное лицо: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размещает приказ о предоставлении грантов на сайте управления и на едином портале;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направляет получателю гранта уведомление о необходимости</w:t>
      </w:r>
      <w:r>
        <w:rPr>
          <w:color w:val="000000"/>
          <w:sz w:val="26"/>
          <w:szCs w:val="26"/>
        </w:rPr>
        <w:t xml:space="preserve"> заключения соглашения о предоставлении гранта (далее – соглашение) в течение</w:t>
      </w:r>
      <w:r>
        <w:rPr>
          <w:color w:val="000000"/>
          <w:sz w:val="26"/>
          <w:szCs w:val="26"/>
          <w:highlight w:val="white"/>
        </w:rPr>
        <w:t xml:space="preserve"> 10 р</w:t>
      </w:r>
      <w:r>
        <w:rPr>
          <w:color w:val="000000"/>
          <w:sz w:val="26"/>
          <w:szCs w:val="26"/>
        </w:rPr>
        <w:t xml:space="preserve">абочих дней со дня, следующего за днем получения уведомления о заключении соглашения;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направляет претенденту на получение гранта, с которым не заключается соглашение, уведомление о незаключении с ним соглашения.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Уведомление направляется способом, указанным в заявке, позволяющим установить факт и дату направления уведомления получателям гранта (или участникам конкурса), а в случае подачи заявки через ЦП МСП - в личный кабинет ЦП МСП.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случае подачи заявки через ЦП МСП соглашение заключается в электронной форме на ЦП МСП в срок, не превышающий 4 рабочих дней со дня утверждения приказа об утверждении перечня получателей гранта: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течение 2 рабочих дней со дня ут</w:t>
      </w:r>
      <w:r>
        <w:rPr>
          <w:color w:val="000000"/>
          <w:sz w:val="26"/>
          <w:szCs w:val="26"/>
          <w:highlight w:val="white"/>
        </w:rPr>
        <w:t xml:space="preserve">верждения приказа об утверждении перечня получателей гранта управление направляет получателю гранта уведомление о предоставлении гранта и соглашение, подписанное ЭП уполномоченного должностного лица управления, в личный кабинет получателя гранта на ЦП МСП;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течение 2 рабочих дней со дня отправления соглашения получатель гранта направляет в адрес управления соглашение, подписанное ЭП со своей стороны.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3" w:lineRule="atLeast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Дополнительные соглашения к соглашению заключаются в бумажном виде либо на ЦП МСП (при наличии технической возможности).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Управление заключает с получателем гранта соглашение в день его обращения в соответствии с типовой формой, установленной управлением финансов Липецкой области.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случае незаключения соглашения грант не перечисляется.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22. Гранты предоставляются в размере не более 1 млн. руб. на одного получателя гранта.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23. Грант перечисляется получателю гранта единовременно в полном объеме средств, предусмотренных соглашением.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jc w:val="both"/>
        <w:rPr>
          <w:sz w:val="26"/>
          <w:szCs w:val="26"/>
          <w:highlight w:val="white"/>
        </w:rPr>
      </w:pPr>
      <w:r>
        <w:rPr>
          <w:rFonts w:eastAsiaTheme="minorEastAsia"/>
          <w:sz w:val="26"/>
          <w:szCs w:val="26"/>
          <w:highlight w:val="white"/>
        </w:rPr>
        <w:t xml:space="preserve">24. </w:t>
      </w:r>
      <w:r>
        <w:rPr>
          <w:sz w:val="26"/>
          <w:szCs w:val="26"/>
          <w:highlight w:val="white"/>
        </w:rPr>
        <w:t xml:space="preserve">Обязательными условиями предоставления гранта, включаемыми в соглашения, являются: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запрет приобретения получателями гранта, а также иными юридическими лицами, получающими средства на основании договоров, заключенных с получателями грантов, за счет полученны</w:t>
      </w:r>
      <w:r>
        <w:rPr>
          <w:sz w:val="26"/>
          <w:szCs w:val="26"/>
          <w:highlight w:val="white"/>
        </w:rPr>
        <w:t xml:space="preserve">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 w:line="283" w:lineRule="atLeast"/>
        <w:ind w:firstLine="53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согласие получателя гранта, лиц, получающих средства на основании договоров, заключенных с получателями грантов (за исключением государственных унитарных предприятий, хозяйственных товариществ и обществ </w:t>
      </w:r>
      <w:r>
        <w:rPr>
          <w:sz w:val="26"/>
          <w:szCs w:val="26"/>
          <w:highlight w:val="white"/>
        </w:rPr>
        <w:t xml:space="preserve">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управлением соблюдения порядка и </w:t>
      </w:r>
      <w:r>
        <w:rPr>
          <w:sz w:val="26"/>
          <w:szCs w:val="26"/>
          <w:highlight w:val="white"/>
        </w:rPr>
        <w:t xml:space="preserve">условий предоставления гранта</w:t>
      </w:r>
      <w:r>
        <w:rPr>
          <w:sz w:val="26"/>
          <w:szCs w:val="26"/>
          <w:highlight w:val="white"/>
        </w:rPr>
        <w:t xml:space="preserve">, в том числе в части достижения результатов предоставления гранта, а также проверки органом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color w:val="000000"/>
          <w:sz w:val="26"/>
          <w:szCs w:val="26"/>
        </w:rPr>
      </w:pPr>
      <w:r>
        <w:rPr>
          <w:rFonts w:eastAsiaTheme="minorEastAsia"/>
          <w:sz w:val="26"/>
          <w:szCs w:val="26"/>
          <w:highlight w:val="white"/>
        </w:rPr>
        <w:t xml:space="preserve">25. </w:t>
      </w:r>
      <w:r>
        <w:rPr>
          <w:color w:val="000000"/>
          <w:sz w:val="26"/>
          <w:szCs w:val="26"/>
          <w:highlight w:val="white"/>
        </w:rPr>
        <w:t xml:space="preserve">Результатом предоставления гранта является</w:t>
      </w:r>
      <w:r>
        <w:rPr>
          <w:sz w:val="26"/>
          <w:szCs w:val="26"/>
        </w:rPr>
        <w:t xml:space="preserve"> количество созданных рабочих мест субъектами малого и среднего предпринимательства, получившими финансовую поддержку.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Bdr/>
        <w:spacing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zh-CN"/>
        </w:rPr>
        <w:t xml:space="preserve">Типом результата предоставления субсидии является оказание финансовой поддержки юридическим лицам, индивидуальным предпринимателям, а также физическим лицам – производителям товаров, работ, услуг.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39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Точная дата завершения и конечное значение результата предоставления гранта устанавливается в соглашении.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26. В случае уменьшения управлению ранее доведенных лимитов бюджетных обязательств, приводящего к невозможности предоставления гранта в размере, определенном в соглашении, условия о согласовании новых </w:t>
      </w:r>
      <w:r>
        <w:rPr>
          <w:color w:val="000000" w:themeColor="text1"/>
          <w:sz w:val="26"/>
          <w:szCs w:val="26"/>
          <w:highlight w:val="white"/>
        </w:rPr>
        <w:t xml:space="preserve">условий </w:t>
      </w:r>
      <w:r>
        <w:rPr>
          <w:sz w:val="26"/>
          <w:szCs w:val="26"/>
          <w:highlight w:val="white"/>
        </w:rPr>
        <w:t xml:space="preserve">соглашения или о расторжении соглашения при недостижении согласия по новым условиям включаются в соглашение.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Внесение изменений в соглашение (расторжение соглашения) осуществляется на основании дополнительного соглашения в соответствии с типовой формой, установленной управлением финансов Липецкой области.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firstLine="540"/>
        <w:contextualSpacing w:val="true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27. При увеличении объема средств, предусмотренных Законом об областном бюджете на указанные в настоящем Порядке цели, при наличии нераспределенных грантов, Управление проводит новый конкурс в соответствии с настоящим Порядком.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68" w:line="288" w:lineRule="atLeast"/>
        <w:ind w:firstLine="540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Управление размещает объявление о про</w:t>
      </w:r>
      <w:r>
        <w:rPr>
          <w:color w:val="000000"/>
          <w:sz w:val="26"/>
          <w:szCs w:val="26"/>
          <w:highlight w:val="white"/>
        </w:rPr>
        <w:t xml:space="preserve">ведении нового конкурса на едином портале и сайте Управления с указанием даты начала подачи или окончания приема заявок претендентов, которая не может быть ранее 30-го календарного дня, следующего за днем размещения объявления о проведении нового конкурса.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28. При реорганизации получателя гранта: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соглашение расторгается с формированием уведомления о расторжении соглашения в одностороннем п</w:t>
      </w:r>
      <w:r>
        <w:rPr>
          <w:sz w:val="26"/>
          <w:szCs w:val="26"/>
          <w:highlight w:val="white"/>
        </w:rPr>
        <w:t xml:space="preserve">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неисполненного остатка гранта в бюджет Липецкой области.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29. В случае призыва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</w:t>
      </w:r>
      <w:r>
        <w:rPr>
          <w:sz w:val="26"/>
          <w:szCs w:val="26"/>
          <w:highlight w:val="white"/>
        </w:rPr>
        <w:t xml:space="preserve">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(или) в случае невозможности достижения результата предоставления гранта без измене</w:t>
      </w:r>
      <w:r>
        <w:rPr>
          <w:sz w:val="26"/>
          <w:szCs w:val="26"/>
          <w:highlight w:val="white"/>
        </w:rPr>
        <w:t xml:space="preserve">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штрафных санкций, по согласованию главного распорядителя средств областного бюджета.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30. Управление до заключения соглашения с победителя</w:t>
      </w:r>
      <w:r>
        <w:rPr>
          <w:sz w:val="26"/>
          <w:szCs w:val="26"/>
          <w:highlight w:val="white"/>
        </w:rPr>
        <w:t xml:space="preserve">ми конкурса может отменить конкурс только в случае возникновения обстоятельств непреодолимой силы в соответствии с пунктом 3 статьи 401 Гражданского кодекса Российской Федерации. Объявление об отмене конкурса содержит информацию о причинах отмены конкурса </w:t>
      </w:r>
      <w:r>
        <w:rPr>
          <w:sz w:val="26"/>
          <w:szCs w:val="26"/>
          <w:highlight w:val="white"/>
        </w:rPr>
        <w:t xml:space="preserve">и размещается на едином портале, сайте управления в день принятия такого решения. Конкурс считается отмененным со дня размещения объявления о его отмене на сайте управления.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31. Уполномоченное лицо в течение 5 рабочих дней со дня, следующего за днем заключения с получателем гранта соглашения, подготавливает проект приказа о выплате гранта в разрезе получателей гранта (далее - приказ о выплате грантов).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Начальник Управления подписывает приказ о выплате грантов.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Перечисление грантов с лицевого счета Управления на расчетные или корреспонден</w:t>
      </w:r>
      <w:r>
        <w:rPr>
          <w:sz w:val="26"/>
          <w:szCs w:val="26"/>
          <w:highlight w:val="white"/>
        </w:rPr>
        <w:t xml:space="preserve">тские счета, открытые получателям грантов в учреждениях Центрального банка Российской Федерации или кредитных организациях, указанные в соглашениях, осуществляется не позднее 10-го рабочего дня со дня, следующего за днем издания приказа о выплате грантов.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32. Конкурс получателей грантов признается несостоявшимся, о чем оформляется протокол, который публикуется в течение 5 рабочих дней со дня его подписания на едином портале и на сайте Управления, в следующих случаях: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по окончании срока подачи заявок подана только одна заявка;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конкурса получателей грантов;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по окончании срока подачи заявок не подано ни одной заявки;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по результатам рассмотрения заявок отклонены все заявки.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  <w:shd w:val="clear" w:color="auto" w:fill="ff0000"/>
        </w:rPr>
      </w:pPr>
      <w:r>
        <w:rPr>
          <w:sz w:val="26"/>
          <w:szCs w:val="26"/>
          <w:highlight w:val="white"/>
        </w:rPr>
        <w:t xml:space="preserve">Соглашение</w:t>
      </w:r>
      <w:r>
        <w:rPr>
          <w:sz w:val="26"/>
          <w:szCs w:val="26"/>
          <w:highlight w:val="white"/>
        </w:rPr>
        <w:t xml:space="preserve"> заключается с претендентом на конкурс, признанный несостоявшимся, в случае, если по результатам рассмотрения заявок единственная заявка признана соответствующей требованиям и условиям, установленным в объявлении о проведении конкурса получателей грантов. </w:t>
      </w:r>
      <w:r>
        <w:rPr>
          <w:sz w:val="26"/>
          <w:szCs w:val="26"/>
          <w:highlight w:val="white"/>
          <w:shd w:val="clear" w:color="auto" w:fill="ff0000"/>
        </w:rPr>
      </w:r>
      <w:r>
        <w:rPr>
          <w:sz w:val="26"/>
          <w:szCs w:val="26"/>
          <w:highlight w:val="white"/>
          <w:shd w:val="clear" w:color="auto" w:fill="ff0000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33. Получатели грантов представляют в управление: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отчет о достижении значений результата предоставления гранта по форме, установленной в соглашении: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ежеквартально не позднее 10-го рабочего дня месяца, следующего за отчетным кварталом;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за год - до 20 января года, следующего за годом предоставления гранта.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отчет об осуществлении расходов, источником финансового обеспечения которых является грант по форме, установленной в соглашении: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ежеквартально не позднее 10-го рабочего дня месяца, следующего за отчетным кварталом;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за год - до 20 января года, следующего за годом предоставления гранта;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отчет о реализации плана мероприятий по достижению результата предоставления гранта (контрольных точек) по форме, установленной в соглашении: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ежемесячно не позднее 2-го рабочего дня месяца, следующего за отчетным месяцем;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за год – не позднее 10-го рабочего дня года, следующего за годом предоставления гранта.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Управление  принимает и проверяет отчетность, представленную получателем гранта, в течение 20 рабочих дней, следующих за днем ее предоставления.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34. </w:t>
      </w:r>
      <w:r>
        <w:rPr>
          <w:color w:val="000000"/>
          <w:sz w:val="26"/>
          <w:szCs w:val="26"/>
          <w:highlight w:val="white"/>
        </w:rPr>
        <w:t xml:space="preserve">Проверки соблюдения порядка и условий предоставления грантов, в том числе в части достижения результатов их предоставления в отношении получателей грантов осуществляют Управление, а также орган государственного финансового контроля в соответствии со </w:t>
      </w:r>
      <w:hyperlink r:id="rId21" w:tooltip="https://login.consultant.ru/link/?req=doc&amp;base=LAW&amp;n=470713&amp;dst=3704&amp;field=134&amp;date=11.06.2024" w:history="1">
        <w:r>
          <w:rPr>
            <w:rStyle w:val="857"/>
            <w:color w:val="0000ff"/>
            <w:sz w:val="26"/>
            <w:szCs w:val="26"/>
            <w:highlight w:val="white"/>
          </w:rPr>
          <w:t xml:space="preserve">статьями 268.1</w:t>
        </w:r>
      </w:hyperlink>
      <w:r>
        <w:rPr>
          <w:color w:val="000000"/>
          <w:sz w:val="26"/>
          <w:szCs w:val="26"/>
          <w:highlight w:val="white"/>
        </w:rPr>
        <w:t xml:space="preserve"> и </w:t>
      </w:r>
      <w:hyperlink r:id="rId22" w:tooltip="https://login.consultant.ru/link/?req=doc&amp;base=LAW&amp;n=470713&amp;dst=3722&amp;field=134&amp;date=11.06.2024" w:history="1">
        <w:r>
          <w:rPr>
            <w:rStyle w:val="857"/>
            <w:color w:val="0000ff"/>
            <w:sz w:val="26"/>
            <w:szCs w:val="26"/>
            <w:highlight w:val="white"/>
          </w:rPr>
          <w:t xml:space="preserve">269.2</w:t>
        </w:r>
      </w:hyperlink>
      <w:r>
        <w:rPr>
          <w:color w:val="000000"/>
          <w:sz w:val="26"/>
          <w:szCs w:val="26"/>
          <w:highlight w:val="white"/>
        </w:rPr>
        <w:t xml:space="preserve"> Бюджетного кодекса Российской Федерации.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35. Управлением проводится монитор</w:t>
      </w:r>
      <w:r>
        <w:rPr>
          <w:sz w:val="26"/>
          <w:szCs w:val="26"/>
          <w:highlight w:val="white"/>
        </w:rPr>
        <w:t xml:space="preserve">инг достижения значения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установленным </w:t>
      </w:r>
      <w:r>
        <w:rPr>
          <w:sz w:val="26"/>
          <w:szCs w:val="26"/>
          <w:highlight w:val="white"/>
        </w:rPr>
        <w:t xml:space="preserve">в соответствии с утвержденным Министерством финансов Российской Федерации порядком проведения мониторинга достижения результатов предоставления гранта.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36.</w:t>
      </w:r>
      <w:r>
        <w:rPr>
          <w:color w:val="000000"/>
          <w:sz w:val="26"/>
          <w:szCs w:val="26"/>
          <w:highlight w:val="white"/>
        </w:rPr>
        <w:t xml:space="preserve">  Возврат гранта в бюджет Липецкой области, а также уплата пени в случае нарушения получателем гранта условий и порядка, установленных при предоставлении гранта, выя</w:t>
      </w:r>
      <w:r>
        <w:rPr>
          <w:color w:val="000000"/>
          <w:sz w:val="26"/>
          <w:szCs w:val="26"/>
          <w:highlight w:val="white"/>
        </w:rPr>
        <w:t xml:space="preserve">вленного в том числе по фактам проверок, проведенных управлением и органом государственного финансового контроля, а также в случае недостижения значения результата предоставления гранта, осуществляется в размере, порядке и сроки, установленные соглашением.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37. Возврат не использованной в отчетном финансовом году гранта (остатка гранта) осуществляется в порядки и сроки, установленные Законом об областном бюджете.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Bdr/>
        <w:spacing/>
        <w:ind w:firstLine="539"/>
        <w:contextualSpacing w:val="true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38. Получатель гранта несет ответственность за достоверность представляемых документов в соответствии с действующим законодательством.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872"/>
        <w:pBdr/>
        <w:spacing w:line="283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right"/>
        <w:outlineLvl w:val="1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2"/>
        <w:pBdr/>
        <w:spacing/>
        <w:ind/>
        <w:jc w:val="right"/>
        <w:outlineLvl w:val="1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Приложение 1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к Порядку </w:t>
      </w:r>
      <w:r>
        <w:rPr>
          <w:sz w:val="26"/>
          <w:szCs w:val="26"/>
          <w:highlight w:val="white"/>
        </w:rPr>
        <w:t xml:space="preserve">предоставления </w:t>
      </w:r>
      <w:r>
        <w:rPr>
          <w:color w:val="000000"/>
          <w:sz w:val="26"/>
          <w:szCs w:val="26"/>
        </w:rPr>
        <w:t xml:space="preserve">грантов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</w:rPr>
        <w:t xml:space="preserve">в форме </w:t>
      </w:r>
      <w:r>
        <w:rPr>
          <w:color w:val="000000"/>
          <w:sz w:val="26"/>
          <w:szCs w:val="26"/>
          <w:highlight w:val="white"/>
        </w:rPr>
        <w:t xml:space="preserve">субсидий субъектам малого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и среднего предпринимательства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(за исключением производственных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кооперативов, потребительских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кооперативов и крестьянских (фермерских)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хозяйств) на финансовое обеспечение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затрат, связанных с развитием местных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брендов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2"/>
        <w:pBdr/>
        <w:spacing/>
        <w:ind/>
        <w:jc w:val="right"/>
        <w:rPr>
          <w:rFonts w:eastAsia="Calibri"/>
          <w:color w:val="000000"/>
          <w:sz w:val="26"/>
          <w:szCs w:val="26"/>
          <w:highlight w:val="white"/>
        </w:rPr>
      </w:pPr>
      <w:r>
        <w:rPr>
          <w:rFonts w:eastAsia="Calibri"/>
          <w:color w:val="000000"/>
          <w:sz w:val="26"/>
          <w:szCs w:val="26"/>
          <w:highlight w:val="white"/>
        </w:rPr>
      </w:r>
      <w:r>
        <w:rPr>
          <w:rFonts w:eastAsia="Calibri"/>
          <w:color w:val="000000"/>
          <w:sz w:val="26"/>
          <w:szCs w:val="26"/>
          <w:highlight w:val="white"/>
        </w:rPr>
      </w:r>
      <w:r>
        <w:rPr>
          <w:rFonts w:eastAsia="Calibri"/>
          <w:color w:val="000000"/>
          <w:sz w:val="26"/>
          <w:szCs w:val="26"/>
          <w:highlight w:val="white"/>
        </w:rPr>
      </w:r>
    </w:p>
    <w:p>
      <w:pPr>
        <w:pBdr/>
        <w:spacing/>
        <w:ind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Липецкая область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№ 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заявки «__» ______ 20___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претендента на участие в конкурсе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/>
      </w:pPr>
      <w:r>
        <w:t xml:space="preserve">_________________________________________________________________________</w:t>
      </w:r>
      <w:r/>
    </w:p>
    <w:p>
      <w:pPr>
        <w:pBdr/>
        <w:spacing/>
        <w:ind/>
        <w:jc w:val="center"/>
        <w:rPr/>
      </w:pPr>
      <w:r>
        <w:t xml:space="preserve">(наименование юридического лица или фамилия, имя, отчество (при наличии)</w:t>
      </w:r>
      <w:r/>
    </w:p>
    <w:p>
      <w:pPr>
        <w:pBdr/>
        <w:spacing/>
        <w:ind/>
        <w:jc w:val="center"/>
        <w:rPr/>
      </w:pPr>
      <w:r>
        <w:t xml:space="preserve">индивидуального предпринимателя)</w: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both"/>
        <w:rPr/>
      </w:pPr>
      <w:r>
        <w:t xml:space="preserve">(далее – претендент) направляет заявку на участие в конкурсе на предоставление </w:t>
      </w:r>
      <w:r>
        <w:rPr>
          <w:color w:val="000000"/>
        </w:rPr>
        <w:t xml:space="preserve">грантов в форме </w:t>
      </w:r>
      <w:r>
        <w:rPr>
          <w:color w:val="000000"/>
          <w:highlight w:val="white"/>
        </w:rPr>
        <w:t xml:space="preserve">субсидий субъектам малого и среднего предпринимательства (за исключением производственных кооперативов, потребительских кооперативов и крестьянских (фермерских) хозяйств) на финансовое обеспечение затрат, связанных с развитием местных брендов</w:t>
      </w:r>
      <w:r>
        <w:rPr>
          <w:color w:val="000000"/>
        </w:rPr>
        <w:t xml:space="preserve"> в </w:t>
      </w:r>
      <w:r>
        <w:t xml:space="preserve">сумме ____________________(_____________________) руб.____ коп.</w:t>
      </w:r>
      <w:r/>
    </w:p>
    <w:p>
      <w:pPr>
        <w:pBdr/>
        <w:spacing/>
        <w:ind/>
        <w:jc w:val="both"/>
        <w:rPr/>
      </w:pPr>
      <w:r>
        <w:t xml:space="preserve">                                (сумма цифрами)              (сумма прописью)</w:t>
      </w:r>
      <w:r/>
    </w:p>
    <w:p>
      <w:pPr>
        <w:pBdr/>
        <w:spacing/>
        <w:ind/>
        <w:jc w:val="both"/>
        <w:rPr/>
      </w:pPr>
      <w:r/>
      <w:r/>
    </w:p>
    <w:p>
      <w:pPr>
        <w:pBdr/>
        <w:spacing/>
        <w:ind/>
        <w:jc w:val="both"/>
        <w:rPr/>
      </w:pPr>
      <w:r>
        <w:t xml:space="preserve">в том числе за счет средств областного бюджета в сумме </w:t>
      </w:r>
      <w:r/>
    </w:p>
    <w:p>
      <w:pPr>
        <w:pBdr/>
        <w:spacing/>
        <w:ind/>
        <w:jc w:val="both"/>
        <w:rPr/>
      </w:pPr>
      <w:r>
        <w:t xml:space="preserve">______________________________(_______________________________) руб.____ коп.</w:t>
      </w:r>
      <w:r/>
    </w:p>
    <w:p>
      <w:pPr>
        <w:pBdr/>
        <w:spacing/>
        <w:ind/>
        <w:jc w:val="both"/>
        <w:rPr/>
      </w:pPr>
      <w:r>
        <w:t xml:space="preserve">                               (сумма цифрами)              (сумма прописью)</w:t>
      </w:r>
      <w:r/>
    </w:p>
    <w:p>
      <w:pPr>
        <w:pBdr/>
        <w:spacing/>
        <w:ind/>
        <w:jc w:val="both"/>
        <w:rPr/>
      </w:pPr>
      <w:r/>
      <w:r/>
    </w:p>
    <w:p>
      <w:pPr>
        <w:pStyle w:val="870"/>
        <w:pBdr/>
        <w:spacing/>
        <w:ind w:left="0"/>
        <w:jc w:val="center"/>
        <w:rPr>
          <w:b/>
        </w:rPr>
      </w:pPr>
      <w:r>
        <w:rPr>
          <w:b/>
        </w:rPr>
        <w:t xml:space="preserve">Общие сведения о претенденте </w:t>
      </w:r>
      <w:r>
        <w:rPr>
          <w:b/>
        </w:rPr>
      </w:r>
      <w:r>
        <w:rPr>
          <w:b/>
        </w:rPr>
      </w:r>
    </w:p>
    <w:p>
      <w:pPr>
        <w:pStyle w:val="870"/>
        <w:pBdr/>
        <w:spacing/>
        <w:ind w:left="0"/>
        <w:jc w:val="right"/>
        <w:rPr>
          <w:bCs/>
        </w:rPr>
      </w:pPr>
      <w:r>
        <w:rPr>
          <w:bCs/>
        </w:rPr>
        <w:t xml:space="preserve">таблица 1</w:t>
      </w:r>
      <w:r>
        <w:rPr>
          <w:bCs/>
        </w:rPr>
      </w:r>
      <w:r>
        <w:rPr>
          <w:bCs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96"/>
        <w:gridCol w:w="5508"/>
        <w:gridCol w:w="3577"/>
      </w:tblGrid>
      <w:tr>
        <w:trPr>
          <w:trHeight w:val="514"/>
        </w:trPr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п/п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Наименование  сведений о претенденте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Сведения о претенденте</w:t>
            </w:r>
            <w:r/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Ф.И.О. руководителя юридического лица (индивидуального предпринимателя)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ИНН руководителя юридического лица (индивидуального предпринимателя)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ИНН главного бухгалтера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>
                <w:highlight w:val="white"/>
              </w:rPr>
            </w:pPr>
            <w:r>
              <w:rPr>
                <w:highlight w:val="white"/>
              </w:rPr>
              <w:t xml:space="preserve">Идентификационный номер налогоплательщика (ИНН) претендента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Код основного вида экономической деятельности по ОКВЭД (с указанием код ОКВЭД)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Местонахождение/почтовый адрес или адрес регистрации по месту жительства (индивидуального предпринимателя)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Юридический адрес (индекс, город, улица, номер дома)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Ф.И.О. ответственного исполнителя по проекту, должность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/>
            <w:tcW w:w="55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0"/>
              <w:rPr/>
            </w:pPr>
            <w:r>
              <w:t xml:space="preserve">Телефон, e-mail </w:t>
            </w:r>
            <w:r/>
          </w:p>
        </w:tc>
        <w:tc>
          <w:tcPr>
            <w:tcBorders/>
            <w:tcW w:w="357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871"/>
        <w:pBdr/>
        <w:spacing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Грант будет направлен на финансовое обеспечение затрат, указанных в таблице 2 «План расходов», по указанным направлениям расходов.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Таблица 2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План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расходов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tbl>
      <w:tblPr>
        <w:tblW w:w="9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992"/>
        <w:gridCol w:w="784"/>
        <w:gridCol w:w="2051"/>
        <w:gridCol w:w="1701"/>
      </w:tblGrid>
      <w:tr>
        <w:trPr/>
        <w:tc>
          <w:tcPr>
            <w:tcBorders/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№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п/п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Направления затрат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gridSpan w:val="2"/>
            <w:tcBorders/>
            <w:tcW w:w="177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Кол-во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pBdr/>
              <w:spacing/>
              <w:ind w:left="5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Ориентировочная цена, руб./ед.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vAlign w:val="bottom"/>
            <w:vMerge w:val="restart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Сумма, руб.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>
          <w:trHeight w:val="450"/>
        </w:trPr>
        <w:tc>
          <w:tcPr>
            <w:tcBorders/>
            <w:tcW w:w="68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34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Ед. изм.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Ед.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/>
            <w:tcW w:w="170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1.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2.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...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Итого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В том числе: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за счет средств гранта 70 % затрат, руб., но не более             1 000 тыс. руб.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/>
        <w:tc>
          <w:tcPr>
            <w:tcBorders/>
            <w:tcW w:w="680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3493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за счет собственных средств, но не менее 30 % </w:t>
            </w:r>
            <w:r>
              <w:rPr>
                <w:highlight w:val="white"/>
              </w:rPr>
              <w:t xml:space="preserve">от размера предоставленного гранта</w:t>
            </w:r>
            <w:r>
              <w:rPr>
                <w:color w:val="000000"/>
                <w:highlight w:val="white"/>
              </w:rPr>
              <w:t xml:space="preserve">, руб.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992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784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205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Х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Style w:val="872"/>
              <w:pBdr/>
              <w:spacing/>
              <w:ind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</w:tbl>
    <w:p>
      <w:pPr>
        <w:pStyle w:val="872"/>
        <w:pBdr/>
        <w:spacing/>
        <w:ind w:firstLine="54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71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 условиями и порядком предоставления гранта ознакомлен и обязуюсь: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использовать полученные средства по целевому назначению в строгом соответствии с направлениями затрат, указанными в плане расходов, и оплачивать за счет собственных средств не менее 30 % от размера предоставленного гранта;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использовать грант в течение 12 месяцев со дня поступления гранта на его расчетный счет;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2"/>
        <w:pBdr/>
        <w:tabs>
          <w:tab w:val="left" w:leader="none" w:pos="851"/>
        </w:tabs>
        <w:spacing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обеспечить ведение раздельного учета доходов и расходов средств гранта в соответствии с действующим законодательством и доступ к данной информации;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2"/>
        <w:pBdr/>
        <w:tabs>
          <w:tab w:val="left" w:leader="none" w:pos="851"/>
        </w:tabs>
        <w:spacing/>
        <w:ind w:firstLine="567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обеспечить ведение обособленного аналитического учета операций, осуществляемых за счет гранта;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создать не менее 1 нового рабочего места (на полную ставку) в течение 12 месяцев со дня поступления гранта на расчетный счет;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1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осуществлять деятельность и сохранять созданное рабочее место в течение не менее двух лет со дня поступления гранта на расчетный счет.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1"/>
        <w:pBdr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Подтверждаю полноту и достоверность сведений,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- не являюсь иностранным юридическим лицом, в том числе мес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 (в том  числе со статусом международно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87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нахожусь в составляемых в рамках реализации полномочий, предусмотренных </w:t>
      </w:r>
      <w:hyperlink r:id="rId23" w:tooltip="https://login.consultant.ru/link/?req=doc&amp;base=LAW&amp;n=121087&amp;dst=100142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</w:rPr>
          <w:t xml:space="preserve">главой VII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являюсь получателем средства из бюджета Липецкой области на основании иных нормативных правовых актов;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являюсь иностранным агентом в соответствии с Федеральным </w:t>
      </w:r>
      <w:hyperlink r:id="rId24" w:tooltip="https://login.consultant.ru/link/?req=doc&amp;base=LAW&amp;n=452913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cs="Times New Roman"/>
          <w:color w:val="0000ff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 14 июля 2022 года №255-ФЗ «О контроле за деятельностью лиц, находящихся по иностранным влиянием»;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нахожусь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не нахожусь в процессе реорганизации (за исключением реорганизации в форме присоедине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ния к юридическому лицу, являющемуся получателем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" w:hAnsi="TimesNewRoman" w:eastAsia="TimesNewRoman" w:cs="TimesNewRoman"/>
          <w:sz w:val="24"/>
          <w:szCs w:val="24"/>
          <w:highlight w:val="white"/>
        </w:rPr>
        <w:t xml:space="preserve">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</w:t>
      </w:r>
      <w:r>
        <w:rPr>
          <w:rFonts w:ascii="TimesNewRoman" w:hAnsi="TimesNewRoman" w:eastAsia="TimesNewRoman" w:cs="TimesNew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3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управлению экономического развития Липецкой области на обработ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ку, то есть совершение действий, предусмотренных частью 3 статьи 3 Федерального закона от 27 июля 2006 года № 152-ФЗ «О персональных данных», моих персональных данных, указанных в представленных мною документах и необходимых для предоставления мне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3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Настоящее согласие действует с даты подписания и в течение всего срока предоставления указанного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3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1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результатах конкурса и заключении соглашения прошу уведомить следующим образом: ____________________________________________________________________.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1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претендента  _______________________   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(должность)                      (подпись)          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претендента ___________   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«__» _____________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>
          <w:bottom w:val="single" w:color="000000" w:sz="12" w:space="1"/>
        </w:pBdr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>
          <w:bottom w:val="single" w:color="000000" w:sz="12" w:space="1"/>
        </w:pBdr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872"/>
        <w:pBdr/>
        <w:spacing/>
        <w:ind w:firstLine="567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(линия отреза)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Заявка и прилагаемые к ней документы на ______ листах приняты должностным лицом управления экономического развития Липецкой области (далее – управление) 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(Ф.И.О. должностного лица управления полностью)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«__» ___________ 20__ г.  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(подпись должностного лица управления)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tbl>
      <w:tblPr>
        <w:tblW w:w="0" w:type="auto"/>
        <w:tblInd w:w="4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211"/>
      </w:tblGrid>
      <w:tr>
        <w:trPr>
          <w:trHeight w:val="35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1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outlineLvl w:val="0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Приложение 2</w:t>
            </w:r>
            <w:r>
              <w:rPr>
                <w:sz w:val="26"/>
                <w:szCs w:val="26"/>
                <w:highlight w:val="white"/>
              </w:rPr>
            </w:r>
            <w:r>
              <w:rPr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к Порядку </w:t>
            </w:r>
            <w:r>
              <w:rPr>
                <w:sz w:val="26"/>
                <w:szCs w:val="26"/>
                <w:highlight w:val="white"/>
              </w:rPr>
              <w:t xml:space="preserve">предоставления </w:t>
            </w:r>
            <w:r>
              <w:rPr>
                <w:color w:val="000000"/>
                <w:sz w:val="26"/>
                <w:szCs w:val="26"/>
              </w:rPr>
              <w:t xml:space="preserve">грантов </w:t>
            </w:r>
            <w:r>
              <w:rPr>
                <w:color w:val="000000"/>
                <w:sz w:val="26"/>
                <w:szCs w:val="26"/>
              </w:rPr>
            </w: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</w:rPr>
              <w:t xml:space="preserve">в форме 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субсидий субъектам малого 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и среднего предпринимательства 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(за исключением производственных 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кооперативов, потребительских 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кооперативов и крестьянских (фермерских) 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хозяйств) на финансовое обеспечение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затрат, связанных с развитием местных 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jc w:val="right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брендов</w:t>
            </w:r>
            <w:r>
              <w:rPr>
                <w:color w:val="000000"/>
                <w:sz w:val="26"/>
                <w:szCs w:val="26"/>
                <w:highlight w:val="white"/>
              </w:rPr>
            </w:r>
            <w:r>
              <w:rPr>
                <w:color w:val="000000"/>
                <w:sz w:val="26"/>
                <w:szCs w:val="26"/>
                <w:highlight w:val="white"/>
              </w:rPr>
            </w:r>
          </w:p>
        </w:tc>
      </w:tr>
    </w:tbl>
    <w:p>
      <w:pPr>
        <w:pStyle w:val="872"/>
        <w:pBdr/>
        <w:spacing/>
        <w:ind/>
        <w:jc w:val="righ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за квартал,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предшествующий дате подачи заявки претендента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5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793"/>
        <w:gridCol w:w="2409"/>
        <w:gridCol w:w="1328"/>
        <w:gridCol w:w="1752"/>
      </w:tblGrid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квартал, предшествующий дате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табель учета рабочего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по страховым взносам (форма по КНД 1151111)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списочного состава, внешних совместителей и работников, выполнявших работы по договорам гражданско-правового характера, и других лиц несписочного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Расчетно-платежная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работников списочного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состава (без внешних совместителей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работников, выполнявших работы по договорам гражданско-правового характера, и других лиц несписочного состава)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Расчетно-платежная ведомость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676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793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заработанная плата на одного работника списочного состава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4 / строка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328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1752" w:type="dxa"/>
            <w:textDirection w:val="lrTb"/>
            <w:noWrap w:val="false"/>
          </w:tcPr>
          <w:p>
            <w:pPr>
              <w:pStyle w:val="871"/>
              <w:pBdr/>
              <w:spacing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претендента      _______________      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</w:t>
      </w: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(Ф.И.О. полностью)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1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left" w:leader="none" w:pos="6804"/>
        </w:tabs>
        <w:spacing/>
        <w:ind w:right="595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h="16838" w:orient="portrait" w:w="11906"/>
      <w:pgMar w:top="709" w:right="850" w:bottom="113" w:left="156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NewRoman">
    <w:panose1 w:val="020206030504050203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forms" w:enforcement="0"/>
  <w:defaultTabStop w:val="708"/>
  <w:hyphenationZone w:val="357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5"/>
    <w:link w:val="6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71">
    <w:name w:val="Heading 2 Char"/>
    <w:basedOn w:val="695"/>
    <w:link w:val="6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72">
    <w:name w:val="Heading 3 Char"/>
    <w:basedOn w:val="695"/>
    <w:link w:val="6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73">
    <w:name w:val="Heading 4 Char"/>
    <w:basedOn w:val="695"/>
    <w:link w:val="68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74">
    <w:name w:val="Heading 5 Char"/>
    <w:basedOn w:val="695"/>
    <w:link w:val="69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75">
    <w:name w:val="Heading 6 Char"/>
    <w:basedOn w:val="695"/>
    <w:link w:val="6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76">
    <w:name w:val="Heading 7 Char"/>
    <w:basedOn w:val="695"/>
    <w:link w:val="6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77">
    <w:name w:val="Heading 8 Char"/>
    <w:basedOn w:val="695"/>
    <w:link w:val="6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8">
    <w:name w:val="Heading 9 Char"/>
    <w:basedOn w:val="695"/>
    <w:link w:val="6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79">
    <w:name w:val="Title Char"/>
    <w:basedOn w:val="695"/>
    <w:link w:val="83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80">
    <w:name w:val="Subtitle Char"/>
    <w:basedOn w:val="695"/>
    <w:link w:val="83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81">
    <w:name w:val="Quote Char"/>
    <w:basedOn w:val="695"/>
    <w:link w:val="83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82">
    <w:name w:val="Intense Quote Char"/>
    <w:basedOn w:val="695"/>
    <w:link w:val="83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83">
    <w:name w:val="Footnote Text Char"/>
    <w:basedOn w:val="695"/>
    <w:link w:val="851"/>
    <w:uiPriority w:val="99"/>
    <w:semiHidden/>
    <w:pPr>
      <w:pBdr/>
      <w:spacing/>
      <w:ind/>
    </w:pPr>
    <w:rPr>
      <w:sz w:val="20"/>
      <w:szCs w:val="20"/>
    </w:rPr>
  </w:style>
  <w:style w:type="character" w:styleId="684">
    <w:name w:val="Endnote Text Char"/>
    <w:basedOn w:val="695"/>
    <w:link w:val="854"/>
    <w:uiPriority w:val="99"/>
    <w:semiHidden/>
    <w:pPr>
      <w:pBdr/>
      <w:spacing/>
      <w:ind/>
    </w:pPr>
    <w:rPr>
      <w:sz w:val="20"/>
      <w:szCs w:val="20"/>
    </w:rPr>
  </w:style>
  <w:style w:type="paragraph" w:styleId="685" w:default="1">
    <w:name w:val="Normal"/>
    <w:qFormat/>
    <w:pPr>
      <w:pBdr/>
      <w:spacing/>
      <w:ind/>
    </w:pPr>
    <w:rPr>
      <w:sz w:val="24"/>
      <w:szCs w:val="24"/>
    </w:rPr>
  </w:style>
  <w:style w:type="paragraph" w:styleId="686">
    <w:name w:val="Heading 1"/>
    <w:basedOn w:val="685"/>
    <w:next w:val="685"/>
    <w:link w:val="82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687">
    <w:name w:val="Heading 2"/>
    <w:basedOn w:val="685"/>
    <w:next w:val="685"/>
    <w:link w:val="82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688">
    <w:name w:val="Heading 3"/>
    <w:basedOn w:val="685"/>
    <w:next w:val="685"/>
    <w:link w:val="82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689">
    <w:name w:val="Heading 4"/>
    <w:basedOn w:val="685"/>
    <w:next w:val="685"/>
    <w:link w:val="82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690">
    <w:name w:val="Heading 5"/>
    <w:basedOn w:val="685"/>
    <w:next w:val="685"/>
    <w:link w:val="82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691">
    <w:name w:val="Heading 6"/>
    <w:basedOn w:val="685"/>
    <w:next w:val="685"/>
    <w:link w:val="82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92">
    <w:name w:val="Heading 7"/>
    <w:basedOn w:val="685"/>
    <w:next w:val="685"/>
    <w:link w:val="82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93">
    <w:name w:val="Heading 8"/>
    <w:basedOn w:val="685"/>
    <w:next w:val="685"/>
    <w:link w:val="83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694">
    <w:name w:val="Heading 9"/>
    <w:basedOn w:val="685"/>
    <w:next w:val="685"/>
    <w:link w:val="83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695" w:default="1">
    <w:name w:val="Default Paragraph Font"/>
    <w:uiPriority w:val="1"/>
    <w:semiHidden/>
    <w:unhideWhenUsed/>
    <w:pPr>
      <w:pBdr/>
      <w:spacing/>
      <w:ind/>
    </w:pPr>
  </w:style>
  <w:style w:type="table" w:styleId="6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7" w:default="1">
    <w:name w:val="No List"/>
    <w:uiPriority w:val="99"/>
    <w:semiHidden/>
    <w:unhideWhenUsed/>
    <w:pPr>
      <w:pBdr/>
      <w:spacing/>
      <w:ind/>
    </w:pPr>
  </w:style>
  <w:style w:type="table" w:styleId="698" w:customStyle="1">
    <w:name w:val="Table Grid Light"/>
    <w:basedOn w:val="69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696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696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1 Light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1 Light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1 Light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1 Light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1 Light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 w:customStyle="1">
    <w:name w:val="Grid Table 1 Light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2 - Accent 1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2 - Accent 2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2 - Accent 3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2 - Accent 4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2 - Accent 5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2 - Accent 6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3 - Accent 1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3 - Accent 2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3 - Accent 3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3 - Accent 4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3 - Accent 5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3 - Accent 6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4 - Accent 1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4 - Accent 2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4 - Accent 3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4 - Accent 4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4 - Accent 5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4 - Accent 6"/>
    <w:basedOn w:val="696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5 Dark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5 Dark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5 Dark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5 Dark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5 Dark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5 Dark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6 Colorful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6 Colorful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6 Colorful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6 Colorful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6 Colorful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6 Colorful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7 Colorful - Accent 1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7 Colorful - Accent 2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7 Colorful - Accent 3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7 Colorful - Accent 4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7 Colorful - Accent 5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7 Colorful - Accent 6"/>
    <w:basedOn w:val="696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1 Light - Accent 1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1 Light - Accent 2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1 Light - Accent 3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1 Light - Accent 4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1 Light - Accent 5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List Table 1 Light - Accent 6"/>
    <w:basedOn w:val="69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2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2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2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2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2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2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3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3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3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3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3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3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4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4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4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4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4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4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5 Dark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5 Dark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5 Dark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5 Dark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5 Dark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5 Dark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6 Colorful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6 Colorful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6 Colorful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6 Colorful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6 Colorful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6 Colorful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7 Colorful - Accent 1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7 Colorful - Accent 2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7 Colorful - Accent 3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7 Colorful - Accent 4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7 Colorful - Accent 5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7 Colorful - Accent 6"/>
    <w:basedOn w:val="696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ned - Accent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ned - Accent 1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ned - Accent 2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ned - Accent 3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ned - Accent 4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ned - Accent 5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ned - Accent 6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&amp; Lined - Accent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&amp; Lined - Accent 1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&amp; Lined - Accent 2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&amp; Lined - Accent 3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&amp; Lined - Accent 4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&amp; Lined - Accent 5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Bordered &amp; Lined - Accent 6"/>
    <w:basedOn w:val="69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Bordered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Bordered - Accent 1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Bordered - Accent 2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- Accent 3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- Accent 4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- Accent 5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- Accent 6"/>
    <w:basedOn w:val="696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3" w:customStyle="1">
    <w:name w:val="Заголовок 1 Знак"/>
    <w:basedOn w:val="695"/>
    <w:link w:val="686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824" w:customStyle="1">
    <w:name w:val="Заголовок 2 Знак"/>
    <w:basedOn w:val="695"/>
    <w:link w:val="687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825" w:customStyle="1">
    <w:name w:val="Заголовок 3 Знак"/>
    <w:basedOn w:val="695"/>
    <w:link w:val="688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826" w:customStyle="1">
    <w:name w:val="Заголовок 4 Знак"/>
    <w:basedOn w:val="695"/>
    <w:link w:val="689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827" w:customStyle="1">
    <w:name w:val="Заголовок 5 Знак"/>
    <w:basedOn w:val="695"/>
    <w:link w:val="69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828" w:customStyle="1">
    <w:name w:val="Заголовок 6 Знак"/>
    <w:basedOn w:val="695"/>
    <w:link w:val="69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9" w:customStyle="1">
    <w:name w:val="Заголовок 7 Знак"/>
    <w:basedOn w:val="695"/>
    <w:link w:val="69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0" w:customStyle="1">
    <w:name w:val="Заголовок 8 Знак"/>
    <w:basedOn w:val="695"/>
    <w:link w:val="69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1" w:customStyle="1">
    <w:name w:val="Заголовок 9 Знак"/>
    <w:basedOn w:val="695"/>
    <w:link w:val="69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2">
    <w:name w:val="Title"/>
    <w:basedOn w:val="685"/>
    <w:next w:val="685"/>
    <w:link w:val="83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3" w:customStyle="1">
    <w:name w:val="Заголовок Знак"/>
    <w:basedOn w:val="695"/>
    <w:link w:val="83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4">
    <w:name w:val="Subtitle"/>
    <w:basedOn w:val="685"/>
    <w:next w:val="685"/>
    <w:link w:val="83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5" w:customStyle="1">
    <w:name w:val="Подзаголовок Знак"/>
    <w:basedOn w:val="695"/>
    <w:link w:val="83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6">
    <w:name w:val="Quote"/>
    <w:basedOn w:val="685"/>
    <w:next w:val="685"/>
    <w:link w:val="83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7" w:customStyle="1">
    <w:name w:val="Цитата 2 Знак"/>
    <w:basedOn w:val="695"/>
    <w:link w:val="83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8">
    <w:name w:val="Intense Emphasis"/>
    <w:basedOn w:val="695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839">
    <w:name w:val="Intense Quote"/>
    <w:basedOn w:val="685"/>
    <w:next w:val="685"/>
    <w:link w:val="840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840" w:customStyle="1">
    <w:name w:val="Выделенная цитата Знак"/>
    <w:basedOn w:val="695"/>
    <w:link w:val="839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841">
    <w:name w:val="Intense Reference"/>
    <w:basedOn w:val="695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paragraph" w:styleId="842">
    <w:name w:val="No Spacing"/>
    <w:basedOn w:val="685"/>
    <w:uiPriority w:val="1"/>
    <w:qFormat/>
    <w:pPr>
      <w:pBdr/>
      <w:spacing/>
      <w:ind/>
    </w:pPr>
  </w:style>
  <w:style w:type="character" w:styleId="843">
    <w:name w:val="Subtle Emphasis"/>
    <w:basedOn w:val="69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4">
    <w:name w:val="Emphasis"/>
    <w:basedOn w:val="695"/>
    <w:uiPriority w:val="20"/>
    <w:qFormat/>
    <w:pPr>
      <w:pBdr/>
      <w:spacing/>
      <w:ind/>
    </w:pPr>
    <w:rPr>
      <w:i/>
      <w:iCs/>
    </w:rPr>
  </w:style>
  <w:style w:type="character" w:styleId="845">
    <w:name w:val="Strong"/>
    <w:basedOn w:val="695"/>
    <w:uiPriority w:val="22"/>
    <w:qFormat/>
    <w:pPr>
      <w:pBdr/>
      <w:spacing/>
      <w:ind/>
    </w:pPr>
    <w:rPr>
      <w:b/>
      <w:bCs/>
    </w:rPr>
  </w:style>
  <w:style w:type="character" w:styleId="846">
    <w:name w:val="Subtle Reference"/>
    <w:basedOn w:val="69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7">
    <w:name w:val="Book Title"/>
    <w:basedOn w:val="695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48" w:customStyle="1">
    <w:name w:val="Header Char"/>
    <w:basedOn w:val="695"/>
    <w:uiPriority w:val="99"/>
    <w:pPr>
      <w:pBdr/>
      <w:spacing/>
      <w:ind/>
    </w:pPr>
  </w:style>
  <w:style w:type="character" w:styleId="849" w:customStyle="1">
    <w:name w:val="Footer Char"/>
    <w:basedOn w:val="695"/>
    <w:uiPriority w:val="99"/>
    <w:pPr>
      <w:pBdr/>
      <w:spacing/>
      <w:ind/>
    </w:pPr>
  </w:style>
  <w:style w:type="paragraph" w:styleId="850">
    <w:name w:val="Caption"/>
    <w:basedOn w:val="685"/>
    <w:next w:val="685"/>
    <w:uiPriority w:val="35"/>
    <w:unhideWhenUsed/>
    <w:qFormat/>
    <w:pPr>
      <w:pBdr/>
      <w:spacing w:after="200"/>
      <w:ind/>
    </w:pPr>
    <w:rPr>
      <w:i/>
      <w:iCs/>
      <w:color w:val="44546a" w:themeColor="text2"/>
      <w:sz w:val="18"/>
      <w:szCs w:val="18"/>
    </w:rPr>
  </w:style>
  <w:style w:type="paragraph" w:styleId="851">
    <w:name w:val="footnote text"/>
    <w:basedOn w:val="685"/>
    <w:link w:val="852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52" w:customStyle="1">
    <w:name w:val="Текст сноски Знак"/>
    <w:basedOn w:val="695"/>
    <w:link w:val="851"/>
    <w:uiPriority w:val="99"/>
    <w:semiHidden/>
    <w:pPr>
      <w:pBdr/>
      <w:spacing/>
      <w:ind/>
    </w:pPr>
    <w:rPr>
      <w:sz w:val="20"/>
      <w:szCs w:val="20"/>
    </w:rPr>
  </w:style>
  <w:style w:type="character" w:styleId="853">
    <w:name w:val="footnote reference"/>
    <w:basedOn w:val="695"/>
    <w:uiPriority w:val="99"/>
    <w:semiHidden/>
    <w:unhideWhenUsed/>
    <w:pPr>
      <w:pBdr/>
      <w:spacing/>
      <w:ind/>
    </w:pPr>
    <w:rPr>
      <w:vertAlign w:val="superscript"/>
    </w:rPr>
  </w:style>
  <w:style w:type="paragraph" w:styleId="854">
    <w:name w:val="endnote text"/>
    <w:basedOn w:val="685"/>
    <w:link w:val="855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55" w:customStyle="1">
    <w:name w:val="Текст концевой сноски Знак"/>
    <w:basedOn w:val="695"/>
    <w:link w:val="854"/>
    <w:uiPriority w:val="99"/>
    <w:semiHidden/>
    <w:pPr>
      <w:pBdr/>
      <w:spacing/>
      <w:ind/>
    </w:pPr>
    <w:rPr>
      <w:sz w:val="20"/>
      <w:szCs w:val="20"/>
    </w:rPr>
  </w:style>
  <w:style w:type="character" w:styleId="856">
    <w:name w:val="endnote reference"/>
    <w:basedOn w:val="695"/>
    <w:uiPriority w:val="99"/>
    <w:semiHidden/>
    <w:unhideWhenUsed/>
    <w:pPr>
      <w:pBdr/>
      <w:spacing/>
      <w:ind/>
    </w:pPr>
    <w:rPr>
      <w:vertAlign w:val="superscript"/>
    </w:rPr>
  </w:style>
  <w:style w:type="character" w:styleId="857">
    <w:name w:val="Hyperlink"/>
    <w:basedOn w:val="69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8">
    <w:name w:val="FollowedHyperlink"/>
    <w:basedOn w:val="69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9">
    <w:name w:val="TOC Heading"/>
    <w:uiPriority w:val="39"/>
    <w:unhideWhenUsed/>
    <w:pPr>
      <w:pBdr/>
      <w:spacing/>
      <w:ind/>
    </w:pPr>
  </w:style>
  <w:style w:type="paragraph" w:styleId="860">
    <w:name w:val="table of figures"/>
    <w:basedOn w:val="685"/>
    <w:next w:val="685"/>
    <w:uiPriority w:val="99"/>
    <w:unhideWhenUsed/>
    <w:pPr>
      <w:pBdr/>
      <w:spacing/>
      <w:ind/>
    </w:pPr>
  </w:style>
  <w:style w:type="table" w:styleId="861">
    <w:name w:val="Table Grid"/>
    <w:basedOn w:val="696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62">
    <w:name w:val="Header"/>
    <w:basedOn w:val="685"/>
    <w:link w:val="86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3" w:customStyle="1">
    <w:name w:val="Верхний колонтитул Знак"/>
    <w:link w:val="862"/>
    <w:pPr>
      <w:pBdr/>
      <w:spacing/>
      <w:ind/>
    </w:pPr>
    <w:rPr>
      <w:rFonts w:cs="Times New Roman"/>
      <w:sz w:val="24"/>
      <w:szCs w:val="24"/>
    </w:rPr>
  </w:style>
  <w:style w:type="character" w:styleId="864">
    <w:name w:val="page number"/>
    <w:uiPriority w:val="99"/>
    <w:pPr>
      <w:pBdr/>
      <w:spacing/>
      <w:ind/>
    </w:pPr>
    <w:rPr>
      <w:rFonts w:cs="Times New Roman"/>
    </w:rPr>
  </w:style>
  <w:style w:type="paragraph" w:styleId="865">
    <w:name w:val="Balloon Text"/>
    <w:basedOn w:val="685"/>
    <w:link w:val="86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66" w:customStyle="1">
    <w:name w:val="Текст выноски Знак"/>
    <w:link w:val="86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67">
    <w:name w:val="Footer"/>
    <w:basedOn w:val="685"/>
    <w:link w:val="868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68" w:customStyle="1">
    <w:name w:val="Нижний колонтитул Знак"/>
    <w:link w:val="867"/>
    <w:uiPriority w:val="99"/>
    <w:semiHidden/>
    <w:pPr>
      <w:pBdr/>
      <w:spacing/>
      <w:ind/>
    </w:pPr>
    <w:rPr>
      <w:rFonts w:cs="Times New Roman"/>
      <w:sz w:val="24"/>
      <w:szCs w:val="24"/>
    </w:rPr>
  </w:style>
  <w:style w:type="paragraph" w:styleId="869" w:customStyle="1">
    <w:name w:val="подпись"/>
    <w:basedOn w:val="685"/>
    <w:pPr>
      <w:pBdr/>
      <w:tabs>
        <w:tab w:val="left" w:leader="none" w:pos="6804"/>
      </w:tabs>
      <w:spacing w:line="240" w:lineRule="atLeast"/>
      <w:ind w:right="4820"/>
    </w:pPr>
    <w:rPr>
      <w:sz w:val="28"/>
      <w:szCs w:val="20"/>
    </w:rPr>
  </w:style>
  <w:style w:type="paragraph" w:styleId="870">
    <w:name w:val="List Paragraph"/>
    <w:basedOn w:val="685"/>
    <w:uiPriority w:val="99"/>
    <w:qFormat/>
    <w:pPr>
      <w:pBdr/>
      <w:spacing/>
      <w:ind w:left="720"/>
      <w:contextualSpacing w:val="true"/>
    </w:pPr>
  </w:style>
  <w:style w:type="paragraph" w:styleId="871" w:customStyle="1">
    <w:name w:val="ConsPlusNonformat"/>
    <w:uiPriority w:val="99"/>
    <w:pPr>
      <w:widowControl w:val="false"/>
      <w:pBdr/>
      <w:spacing/>
      <w:ind/>
    </w:pPr>
    <w:rPr>
      <w:rFonts w:ascii="Courier New" w:hAnsi="Courier New" w:cs="Courier New"/>
    </w:rPr>
  </w:style>
  <w:style w:type="paragraph" w:styleId="872" w:customStyle="1">
    <w:name w:val="ConsPlusNormal"/>
    <w:pPr>
      <w:widowControl w:val="false"/>
      <w:pBdr/>
      <w:spacing/>
      <w:ind/>
    </w:pPr>
    <w:rPr>
      <w:sz w:val="24"/>
      <w:szCs w:val="24"/>
    </w:rPr>
  </w:style>
  <w:style w:type="paragraph" w:styleId="873" w:customStyle="1">
    <w:name w:val="Стандартный HTML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RLAW220&amp;n=134102&amp;dst=101561" TargetMode="External"/><Relationship Id="rId11" Type="http://schemas.openxmlformats.org/officeDocument/2006/relationships/hyperlink" Target="http://budget.gov.ru/" TargetMode="External"/><Relationship Id="rId12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/" TargetMode="External"/><Relationship Id="rId13" Type="http://schemas.openxmlformats.org/officeDocument/2006/relationships/hyperlink" Target="consultantplus://offline/ref=01DB43AF7C0C72892532F5DFF29490888E1A575DFD2119A6E9B179B3EE2DB76696F7F3C43954F41784B6F9CE1653D7C8B962B19EEE3B1524BCxEI" TargetMode="External"/><Relationship Id="rId14" Type="http://schemas.openxmlformats.org/officeDocument/2006/relationships/hyperlink" Target="consultantplus://offline/ref=01DB43AF7C0C72892532F5DFF29490888B1A565FF62619A6E9B179B3EE2DB76696F7F3C43954F51286B6F9CE1653D7C8B962B19EEE3B1524BCxEI" TargetMode="External"/><Relationship Id="rId15" Type="http://schemas.openxmlformats.org/officeDocument/2006/relationships/hyperlink" Target="consultantplus://offline/ref=01DB43AF7C0C72892532F5DFF29490888E1D5556FF2219A6E9B179B3EE2DB76684F7ABC83B5DEA1785A3AF9F50B0x5I" TargetMode="External"/><Relationship Id="rId16" Type="http://schemas.openxmlformats.org/officeDocument/2006/relationships/hyperlink" Target="https://login.consultant.ru/link/?req=doc&amp;base=LAW&amp;n=472841&amp;date=06.06.2024&amp;dst=5769&amp;field=134" TargetMode="External"/><Relationship Id="rId17" Type="http://schemas.openxmlformats.org/officeDocument/2006/relationships/hyperlink" Target="consultantplus://offline/ref=9445DC87D48D5BAEA25E960453EE9257D66D91B0F4C463AE5044EC8C5857C8347DC7046D7B877D8D96F9BC507547hFK" TargetMode="External"/><Relationship Id="rId18" Type="http://schemas.openxmlformats.org/officeDocument/2006/relationships/hyperlink" Target="consultantplus://offline/ref=EFDA7DF67D32324D460BEA75CF4E44B527EE6EF133F9B2D3D4CBCE38653F608E3A04569C729065BFE29C14BE4D3E7FAC417424425093E39AF8P4J" TargetMode="External"/><Relationship Id="rId19" Type="http://schemas.openxmlformats.org/officeDocument/2006/relationships/hyperlink" Target="https://xn--l1agf.xn--p1ai/" TargetMode="External"/><Relationship Id="rId20" Type="http://schemas.openxmlformats.org/officeDocument/2006/relationships/hyperlink" Target="https://login.consultant.ru/link/?req=doc&amp;base=LAW&amp;n=472841&amp;date=06.06.2024&amp;dst=5769&amp;field=134" TargetMode="External"/><Relationship Id="rId21" Type="http://schemas.openxmlformats.org/officeDocument/2006/relationships/hyperlink" Target="https://login.consultant.ru/link/?req=doc&amp;base=LAW&amp;n=470713&amp;dst=3704&amp;field=134&amp;date=11.06.2024" TargetMode="External"/><Relationship Id="rId22" Type="http://schemas.openxmlformats.org/officeDocument/2006/relationships/hyperlink" Target="https://login.consultant.ru/link/?req=doc&amp;base=LAW&amp;n=470713&amp;dst=3722&amp;field=134&amp;date=11.06.2024" TargetMode="External"/><Relationship Id="rId23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LAW&amp;n=4529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198E-61F0-4019-85C7-4786C5DE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Департамент по печати, телерадиовещанию и связи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cp:revision>5</cp:revision>
  <dcterms:created xsi:type="dcterms:W3CDTF">2024-09-24T12:44:00Z</dcterms:created>
  <dcterms:modified xsi:type="dcterms:W3CDTF">2024-10-15T13:07:01Z</dcterms:modified>
</cp:coreProperties>
</file>