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0"/>
        <w:ind w:right="-142" w:firstLine="0" w:left="0"/>
        <w:jc w:val="center"/>
        <w:rPr>
          <w:b/>
          <w:sz w:val="26"/>
        </w:rPr>
      </w:pPr>
      <w:r>
        <w:rPr>
          <w:b/>
          <w:sz w:val="26"/>
        </w:rPr>
        <w:t xml:space="preserve">ОБЪЯВЛЕНИЕ</w:t>
      </w:r>
      <w:r>
        <w:rPr>
          <w:b/>
          <w:sz w:val="26"/>
        </w:rPr>
      </w:r>
      <w:r>
        <w:rPr>
          <w:b/>
          <w:sz w:val="26"/>
        </w:rPr>
      </w:r>
    </w:p>
    <w:p>
      <w:pPr>
        <w:pBdr/>
        <w:spacing w:before="1"/>
        <w:ind w:right="-142" w:firstLine="0" w:left="0"/>
        <w:jc w:val="center"/>
        <w:rPr>
          <w:b/>
          <w:bCs/>
          <w:sz w:val="26"/>
          <w:szCs w:val="26"/>
        </w:rPr>
      </w:pPr>
      <w:r>
        <w:rPr>
          <w:b/>
          <w:sz w:val="26"/>
        </w:rPr>
        <w:t xml:space="preserve">О ПРОВЕДЕНИИ ОТБОРА ПОЛУЧАТЕЛЕЙ</w:t>
      </w:r>
      <w:r>
        <w:rPr>
          <w:b/>
          <w:bCs/>
          <w:sz w:val="26"/>
          <w:szCs w:val="26"/>
        </w:rPr>
        <w:t xml:space="preserve"> ГРАНТОВ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Bdr/>
        <w:spacing w:before="1"/>
        <w:ind w:right="-142" w:firstLine="0" w:left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  <w:t xml:space="preserve">В ФОРМЕ СУБСИДИЙ СУБЪЕКТАМ МАЛОГО И СРЕДНЕГО ПРЕДПРИНИМАТЕЛЬСТВА (ЗА ИСКЛЮЧЕНИЕМ ПРОИЗВОДСТВЕННЫХ КООПЕРАТИВОВ, ПОТРЕБИТЕЛЬСКИХ КООПЕРАТИВОВ И КРЕСТЬЯНСКИХ (ФЕРМЕРСКИХ) ХОЗЯЙСТВ) НА ФИНАНСОВОЕ ОБЕСПЕЧЕНИЕ ЗАТРАТ, СВЯЗАННЫХ С РАЗВИТИЕМ МЕСТНЫХ БРЕНДОВ</w:t>
      </w:r>
      <w:r>
        <w:rPr>
          <w:b/>
          <w:bCs/>
          <w:sz w:val="26"/>
          <w:szCs w:val="26"/>
          <w14:ligatures w14:val="none"/>
        </w:rPr>
      </w:r>
      <w:r>
        <w:rPr>
          <w:b/>
          <w:bCs/>
          <w:sz w:val="26"/>
          <w:szCs w:val="26"/>
          <w14:ligatures w14:val="none"/>
        </w:rPr>
      </w:r>
    </w:p>
    <w:p>
      <w:pPr>
        <w:pStyle w:val="909"/>
        <w:pBdr/>
        <w:spacing w:before="11"/>
        <w:ind/>
        <w:rPr>
          <w:b/>
          <w:sz w:val="25"/>
          <w:highlight w:val="lightGray"/>
        </w:rPr>
      </w:pPr>
      <w:r>
        <w:rPr>
          <w:b/>
          <w:sz w:val="25"/>
          <w:highlight w:val="lightGray"/>
        </w:rPr>
      </w:r>
      <w:r>
        <w:rPr>
          <w:b/>
          <w:sz w:val="25"/>
          <w:highlight w:val="lightGray"/>
        </w:rPr>
      </w:r>
      <w:r>
        <w:rPr>
          <w:b/>
          <w:sz w:val="25"/>
          <w:highlight w:val="lightGray"/>
        </w:rPr>
      </w:r>
    </w:p>
    <w:tbl>
      <w:tblPr>
        <w:tblStyle w:val="908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814"/>
        <w:gridCol w:w="6803"/>
      </w:tblGrid>
      <w:tr>
        <w:trPr>
          <w:trHeight w:val="137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911"/>
              <w:pBdr/>
              <w:spacing w:line="275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textDirection w:val="lrTb"/>
            <w:noWrap w:val="false"/>
          </w:tcPr>
          <w:p>
            <w:pPr>
              <w:pStyle w:val="911"/>
              <w:pBdr/>
              <w:spacing/>
              <w:ind w:right="297"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Нормативный правовой акт, регулирующий проведение отбора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textDirection w:val="lrTb"/>
            <w:noWrap w:val="false"/>
          </w:tcPr>
          <w:p>
            <w:pPr>
              <w:pStyle w:val="911"/>
              <w:pBdr/>
              <w:spacing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Приказ № 122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 сентября 2024 года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«Об утверждении Порядка предоставления грантов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 форме субсидий субъектам малого и среднего предпринимательства (за исключением производственных кооперативов, потребительских кооперативов и крестьянских (фермерских) хозяйств) на финансовое обеспечение затрат, связанных с развитием местных брендов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(далее – Порядок)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037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911"/>
              <w:pBdr/>
              <w:spacing w:line="275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textDirection w:val="lrTb"/>
            <w:noWrap w:val="false"/>
          </w:tcPr>
          <w:p>
            <w:pPr>
              <w:pStyle w:val="911"/>
              <w:pBdr/>
              <w:spacing/>
              <w:ind w:right="101"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Сроки проведения отбора (дата и время начала и окончания подачи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заявок)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textDirection w:val="lrTb"/>
            <w:noWrap w:val="false"/>
          </w:tcPr>
          <w:p>
            <w:pPr>
              <w:pStyle w:val="911"/>
              <w:pBdr/>
              <w:spacing w:line="275" w:lineRule="exact"/>
              <w:ind w:right="189"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начала подачи (приема) заявок на участие в отборе: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октября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2024 года 8:30 по московскому времени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окончания подачи (приема) заявок на участие в</w:t>
            </w:r>
            <w:r>
              <w:rPr>
                <w:rFonts w:ascii="Times New Roman" w:hAnsi="Times New Roman" w:eastAsia="Times New Roman" w:cs="Times New Roman"/>
                <w:b/>
                <w:spacing w:val="-1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отборе: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11 ноября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2024 года 17:30 по московскому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времени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024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911"/>
              <w:pBdr/>
              <w:spacing w:line="276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textDirection w:val="lrTb"/>
            <w:noWrap w:val="false"/>
          </w:tcPr>
          <w:p>
            <w:pPr>
              <w:pStyle w:val="911"/>
              <w:pBdr/>
              <w:spacing w:before="3" w:line="276" w:lineRule="exact"/>
              <w:ind w:right="150"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Наименование, место нахождения, почтовый адрес, адрес электронной почты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textDirection w:val="lrTb"/>
            <w:noWrap w:val="false"/>
          </w:tcPr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Управление экономического развития Липецкой области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далее –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Управление)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почтовый адрес: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398014, г. Липецк, пл. Ленина - Соборная,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место нахождения: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 Липецк, ул. Кузнечная, д. 8, каб. 203.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адрес электронной почты: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ed@admlr.lipetsk.ru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график работы: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рабочие дни с 8.30 до 17.30 часов (в пятницу с 8.30 до 16.30 часов), перерыв с 13.00 до 13.48 часов по московскому времени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81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911"/>
              <w:pBdr/>
              <w:spacing w:line="272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textDirection w:val="lrTb"/>
            <w:noWrap w:val="false"/>
          </w:tcPr>
          <w:p>
            <w:pPr>
              <w:pStyle w:val="911"/>
              <w:pBdr/>
              <w:spacing w:line="272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99"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предоставления гранта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textDirection w:val="lrTb"/>
            <w:noWrap w:val="false"/>
          </w:tcPr>
          <w:p>
            <w:pPr>
              <w:widowControl w:val="true"/>
              <w:pBdr/>
              <w:spacing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Результатом предоставлени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я гранта является создание не менее 1 нового рабочего места (на полную ставку) в рамках реализации проекта в течение 12 месяцев со дня поступления гранта на расчетный счет получателя гранта, установленный в соглашении, заключаемом в целях получения гранта.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true"/>
              <w:pBdr/>
              <w:spacing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Точная дата завершения и конечное значение результата предоставления гранта (конкретной количественной характеристики итогов) устанавливается в соглашении.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116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72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 w:right="1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Доменное имя и (или) указатели страниц государственной информационной системы в сети «Интернет», на котором обеспечивается проведение конкурса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true"/>
              <w:pBdr/>
              <w:spacing/>
              <w:ind w:right="1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официальный сайт Управления: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" w:tooltip="https://экономика.липецкаяобласть.рф" w:history="1">
              <w:r>
                <w:rPr>
                  <w:rStyle w:val="91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https://экономика.липецкаяобласть.рф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доменное имя, и (или) сетевой адрес, и (или) указатель страниц сайта в информационно-телекоммуникационной сети «Интернет»: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" w:tooltip="https://экономика.липецкаяобласть.рф/document" w:history="1">
              <w:r>
                <w:rPr>
                  <w:rStyle w:val="91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https://экономика.липецкаяобласть.рф/document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цифровая платформа МСП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Style w:val="9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6"/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https://мсп.рф</w:t>
            </w:r>
            <w:r>
              <w:rPr>
                <w:rStyle w:val="916"/>
                <w:rFonts w:ascii="Times New Roman" w:hAnsi="Times New Roman" w:cs="Times New Roman"/>
                <w:sz w:val="22"/>
                <w:szCs w:val="22"/>
              </w:rPr>
            </w:r>
            <w:r>
              <w:rPr>
                <w:rStyle w:val="916"/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70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textDirection w:val="lrTb"/>
            <w:noWrap w:val="false"/>
          </w:tcPr>
          <w:p>
            <w:pPr>
              <w:widowControl w:val="true"/>
              <w:pBdr/>
              <w:spacing/>
              <w:ind w:right="19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Требования и условия к претендентам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  <w:p>
            <w:pPr>
              <w:widowControl w:val="true"/>
              <w:pBdr/>
              <w:spacing/>
              <w:ind w:right="1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должен соответствовать следующим требованиям: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1) на дату подачи заявки: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является иностранным юридическим лицом, в том числе местом регистрации которого является государство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или территория, включенные в утвержденный Министерством финансов Российской Федерации </w:t>
            </w:r>
            <w:hyperlink r:id="rId11" w:tooltip="consultantplus://offline/ref=01DB43AF7C0C72892532F5DFF29490888E1A575DFD2119A6E9B179B3EE2DB76696F7F3C43954F41784B6F9CE1653D7C8B962B19EEE3B1524BCxEI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перечень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косвенное участие офшорных компаний в капитале публичных акционерных обществ (в том числе со статусом международно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 не находится в составляемых в рамках реализации полномочий, предусмотренных </w:t>
            </w:r>
            <w:hyperlink r:id="rId12" w:tooltip="consultantplus://offline/ref=01DB43AF7C0C72892532F5DFF29490888B1A565FF62619A6E9B179B3EE2DB76696F7F3C43954F51286B6F9CE1653D7C8B962B19EEE3B1524BCxEI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главой VII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Ус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получает средства из областного бюджета на основании иных нормативных правовых актов на цели, установленные Порядком;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является иностранным агентом в соответствии с Федеральным </w:t>
            </w:r>
            <w:hyperlink r:id="rId13" w:tooltip="consultantplus://offline/ref=01DB43AF7C0C72892532F5DFF29490888E1D5556FF2219A6E9B179B3EE2DB76684F7ABC83B5DEA1785A3AF9F50B0x5I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от 14 июля 2022 года 255 – ФЗ «О контроле за деятельностью лиц, находящихся под иностранным влиянием»;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 претендента 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находится в процессе реорганизации (за исключением реорганизации в форме присоединения к юридическому лицу, являющемуся получателе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 гранта, другого юридического лица),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Федерации, а претендент, являющийся индивидуальным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предпринимателем, 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прекратил деятельность в качестве индивидуального предпринимателя;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Start w:id="0" w:name="P92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бухгалтере (при наличии) получателя гранта,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2) на дату формирования справки, но не ранее даты подачи заявки, у претендента на едином налоговом счете отсутствует или не превышает размер, определенный </w:t>
            </w:r>
            <w:hyperlink r:id="rId14" w:tooltip="https://login.consultant.ru/link/?req=doc&amp;base=LAW&amp;n=472841&amp;date=06.06.2024&amp;dst=5769&amp;field=134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пунктом 3 статьи 47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должен соответствовать следующим условиям на дату подачи заявки: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осуществляет деятельность и зарегистрирован на территории Липецкой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в соответствии с разде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ом Общероссийского </w:t>
            </w:r>
            <w:hyperlink r:id="rId15" w:tooltip="consultantplus://offline/ref=9445DC87D48D5BAEA25E960453EE9257D66D91B0F4C463AE5044EC8C5857C8347DC7046D7B877D8D96F9BC507547hFK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классификатора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видов экономической деятельности ОК 029 - 2014 (КДЕС Ред. 2), утвержденного приказом Росстандарта от 31 января 2014 года N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14-ст «О принятии и введении в действие Общероссийского классификатора видов экономической деятельности (ОКВЭД2) ОК 029 - 2014 (КДЕС Ред. 2) и Общероссийского классификатора продукции по видам экономической деятельности (ОКПД2) ОК 034 - 2014 (КПЕС 2008)»: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hyperlink r:id="rId16" w:tooltip="consultantplus://offline/ref=EFDA7DF67D32324D460BEA75CF4E44B527EE6EF133F9B2D3D4CBCE38653F608E3A04569C729065BFE2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раздел С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«Обрабатывающие производства» - коды 13 «Производство текстильных изделий», 14 «Производство одежды», 15 «Производство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кожи и изделий из кожи»;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наличие у претендента свидетельства на товарный знак (знак обслуживания);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наличие у претендента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проекта (бизнес-плана)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развития местного бренда (далее – проекта);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наличие у претендента плана расходов гранта с указанием затрат;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оплачивать за счет собственных средств не менее 30 процентов от размера предоставленного гранта;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использовать грант в течение 12 месяцев со дня поступления гранта на его расчетный счет, открытый в кредитной организации;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создать 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менее 1 нового рабочего места (на полную ставку) в течение 12 месяцев со дня поступления гранта на его расчетный счет,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открытый в кредитной организации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осуществлять деятельность и сохранять созданное рабочее место в течение не менее двух лет со дня поступления гранта на его расчетный счет, открытый в кредитной организации;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среднемесячная заработная плата за квартал, предшествующий дате подач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 заявки, составляет для работников претендента  на получение гранта на цели, установленные настоящим пунктом - не менее 100% от среднемесячной заработной платы работников за предшествующий финансовый год по микро, малым и средним предприятиям по соответст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вующей отрасли в Липецкой области, и превышает размер минимальной заработной платы, установленный на текущий финансовый год в Липецкой области (при наличии у претендента на получение гранта работников) по форме, согласно приложению 2 к настоящему Порядку;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должен обеспечить ведение обособленного аналитического учета операций, осуществляемых за счет гранта;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предоставлять отчетность об использовании средств гранта, достигнуть значение результата в порядке и по формам, утвержденным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соглашении о предоставлении гранта;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обеспечить ведение раздельного учета доходов и расходов средств гранта в соответствии с действующим законодательством и доступ к данной информации;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 претендента задолженности по заработной плате;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является или ранее не являлся получателем средств финансовой поддержки на развитие местных брендов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атегории и критерии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оценки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 w:line="265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Гранты предоставляются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субъектам малого и среднего предпринимательства (за исключением производственных кооперативов, потребительских кооперативов и крестьянских (фермерских) хозяйств)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(далее – претенденты)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на финансовое обеспечение затрат, связанных с развитием местных брендов,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отвечающим условиям и требованиям установленным настоящим порядком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 прошедшим отбор.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Отбор осуществляется управлением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путем проведения конкурса (далее - конкурс) на основании заявок, направленных претендентами для участия в конкурсе получателей грантов (далее - заявка), исходя из наилучших условий достижения результатов, в целях достижения которых предоставляются гранты.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Оценка проектов, представленных в составе заявок претендентов, осуществляется по балльной системе.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Оценка проекта участника конкурса по критериям оценки осуществляется конкурсной комиссией на основании презентации проекта участником конкурса или представителем участника конкурса в форме очного собеседования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или видео-конференц-связи, которое включает рассмотрение информации по проекту, ответы на вопросы членов конкурсной комиссии в части обоснования расходования гранта, планируемых приобретений и планируемых производственно-экономических показателей проекта.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орядок подачи заявок и требований, предъявляемых к форме и содержанию заявок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Претендент в сроки, указанные в объявлении о проведении конкурса, размещенном 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  <w:highlight w:val="white"/>
              </w:rPr>
              <w:t xml:space="preserve">едином портале бюджетной системы Российской Федерации </w:t>
            </w:r>
            <w:hyperlink r:id="rId17" w:tooltip="http://budget.gov.ru/" w:history="1">
              <w:r>
                <w:rPr>
                  <w:sz w:val="22"/>
                  <w:szCs w:val="22"/>
                  <w:highlight w:val="white"/>
                </w:rPr>
                <w:t xml:space="preserve">http://budget.gov.ru/</w:t>
              </w:r>
            </w:hyperlink>
            <w:r>
              <w:rPr>
                <w:sz w:val="22"/>
                <w:szCs w:val="22"/>
                <w:highlight w:val="white"/>
              </w:rPr>
              <w:t xml:space="preserve"> в информационно-телекоммуникационной сети «Интернет» (далее – единый портал)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 на сайте управления в соответствии с Порядком, представляет в управление </w:t>
            </w:r>
            <w:hyperlink w:tooltip="#P265" w:anchor="P265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заявку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по форме согласно приложению 1 к настоящему Порядку с приложением следующих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документов: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копии учредительных документов;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копии протокола о назначении единоличного исполнительного органа (генеральный директор, директор, и т.д.) (при наличии);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копии приказа о вступлении в должность единоличного исполнительного органа (генеральный директор, директор, и т.д.) (при наличии);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копия приказа о назначении главного бухгалтера (при наличии);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копии документов, удостоверяющих личность (копия паспорта) лица, исполняющего функции единоличного исполнительного органа, главного бухгалтера, индивидуального предпринимателя;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проекта;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случае строительства, реконструкции зданий, помещений, предназначенных для осуществления предп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ринимательской деятельности в рамках реализации проекта, предоставляются разрешительная, согласовательная документация, проектная документация, разработанная строительными организациями, имеющими право (лицензию) на проведение проектных работ (при наличии)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копии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свидетельства на товарный знак (знак обслуживания)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информации о том, что среднемесячная заработная плата за квартал, предшествующий дате подачи заявки, составляет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для работников претендента - не менее 100% от среднемесячной заработной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платы работников за предшествующий финансовый год по микро, малым и средним предприятиям по соответствующей отрасли в Липецкой области, и превышает размер минимальной заработной платы, установленный на текущий финансовый год в соответствии с региональным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соглашением о минимальной заработной плате в Липецкой области (при наличии у претендента работников) по форме, согласно приложению 2 к настоящему Порядку;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копии документов, подтверждающие 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аличие у претендента необходимой для реализации проекта материально-технической базы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земельных участков, зданий, сооружений, помещений, предназначенных для осуществления предпринимательской деятельности) в собственности или на праве аренды;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копии документов, подтверждающие наличие у претендента кадров с профессиональными знаниями и квалификацией, необходимыми для реализации проекта;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справку об отсутствии задолженности по заработной плате перед работниками на дату подачи документов;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согласия претендента на публикацию (размещение) на едином портале и на сайте управления информации о претенденте, о подаваемой им заявке и иной информации о претенденте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Претендент вправе представить оригиналы указанных в настоящем пункте документов по собственной инициативе.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Один претендент может подать только одну заявку.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Заявка и прилагаемые к ней документы (копии документов) должны быть прошиты, пронумерованы, скреплены подписью претендента и предоставлены в соответствии с описью документов, составленной в 2 экземплярах.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 представлении документов руководителем претендента предъявляется 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окумент, удостоверяющий его личность. При представлении документов представителем претендента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Заявки и прилагаемые к ним документы, представленные позже срока, указанного в объявлении о проведении конкурса, к рассмотрению не принимаются.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Регистрация представленных заявок и прилагаемых к ним документов осуществляется в день их поступления должностным лицом, уполномоченным приказом управления на прием документов (далее - уполномоченное лицо), в порядке, утвержденном приказом управления.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случае подачи заявки и пакета документов через Цифровую платформу МСП (</w:t>
            </w:r>
            <w:hyperlink r:id="rId18" w:tooltip="&lt;div class=&quot;doc www&quot;&gt;&lt;span class=&quot;aligner&quot;&gt;&lt;div class=&quot;icon listDocWWW-16&quot;&gt;&lt;/div&gt;&lt;/span&gt;https://мсп.рф&lt;/div&gt;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https://мсп.рф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 (далее - ЦП МСП):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Претендент, представляет заявку и перечень документов, предусмотренных настоящим пунктом, в электронной форме посредством ЦП МСП.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11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Для представления заявки претенден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 авторизуется на ЦП МСП, затем заполняет заявление с использованием специальной интерактивной формы в электронном виде и подписывает электронной подписью (далее - ЭП). Электронные образы документов согласно Порядка подписываются ЭП.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орядок отзыва заявок, порядок возврата заявок, определяющего, в том числе, основания для их возврата, порядок внесения изменений в заявки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1"/>
              <w:pBdr/>
              <w:spacing w:line="265" w:lineRule="exact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Претендент имеет право отозвать свою заявку до установленного срока окончания приема заявок и документов, указанного в объявлении о проведении конкурса, уведомив об этом письменно Управление.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Соответствующее уведомление должно быть подписано руководителем претендента и заверено печатью претендента (при наличии).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lang w:eastAsia="en-US"/>
              </w:rPr>
              <w:t xml:space="preserve">При представлении уведомления руководителем претендента предъявляется д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lang w:eastAsia="en-US"/>
              </w:rPr>
              <w:t xml:space="preserve">окумент, удостоверяющий его личность. При представлении уведомления представителем претендента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lang w:eastAsia="en-US"/>
              </w:rPr>
              <w:t xml:space="preserve">Регистрация уведомлений и прилагаемых к ним документов осуществляется в день их поступления должностным лицом, уполномоченным приказом Управления на прием документов.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Уведомления, представленные позже срока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окончания приема заявок и документов, указанного в объявлении о проведении конкурса, к рассмотрению не принимаются.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10"/>
              <w:pBdr/>
              <w:shd w:val="clear" w:color="auto" w:fill="ffffff"/>
              <w:spacing/>
              <w:ind w:right="186" w:left="14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Документы, представленные на конкурс, возврату не подлежат.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равила рассмотрения и оценки заявок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Уполномоченное лицо в течение 5 рабочих дней со дня, следующего за днем окончания срока подачи заявок, указанного в объявлении о проведении конкурса, в рамках межведомственного взаимодействия запрашивает следующие документы: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информацию налогового органа об отсутствии у претендента на едином налоговом счете или о не превышающим размере, определенном </w:t>
            </w:r>
            <w:hyperlink r:id="rId19" w:tooltip="https://login.consultant.ru/link/?req=doc&amp;base=LAW&amp;n=472841&amp;date=06.06.2024&amp;dst=5769&amp;field=134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пунктом 3 статьи 47 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на дату формирования справки, но не ранее даты подачи заявки;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информацию управления финансов Липецкой области об отсутствии просроченной задолженности по возврату в областной бюджет иных субсидий, бюджетных инвестиций на дату подачи заявки;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информацию управления имущественных и земельных отношений Липецкой области об отсутствии просроченной (неурегулированной) задолженности в областной бюджет по арендной плате на дату подачи заявки.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вправе представить оригиналы указанных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документов по собственной инициативе.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 течение 15 рабочих дней со дня, следующего за днем окончания срока подачи заявок, указанного в объявлении о проведении конкурса: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1) уполномоченное лицо: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рассматривает документы, проводит проверку на соответствие предъявляемым Порядком требованиям;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принимает решение о допуске (об отказе в допуске) претендентов к участию в конкурсе;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оформляет принятое решение актом;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подготавливает проект приказа управления с отражением в нем следующей информации: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перечня претендентов, заявки которых были рассмотрены;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перечня претендентов, заявки которых допущены к участию в конкурсе;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перечень претендентов, заявки которых были отклонены, с указанием причин их отклонения, в том числе положений  Порядка, которым не соответствуют такие заявки;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2) начальник управления подписывает приказ;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3) уполномоченное лицо: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размещает приказ об утверждении перечня претендентов, заявки которых допущены (отклонены) к участию в конкурсе на сайте управления и на едином портале;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направляет претендентам, допущенным к участию в конкурса, уведомления с указанием места, даты и времени проведения конкурса;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направляет претендентам, не допущенным к участию в конкурсе, уведомления с указанием причин отказа в допуске к участию в конкурсе.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орядок возврата заявок на доработку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отклонения заявок, а также информацию об основаниях их отклонения;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1"/>
              <w:pBdr/>
              <w:spacing w:line="265" w:lineRule="exact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Основания для отклонения заявок: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несоответствие претендента условиям и требованиям, установленным Порядком;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непредставление (представление не в полном объеме) документов, указанных в объявлении о проведении конкурса, предусмотренных Порядком;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несоответствие представленных претендентом заявок и (или) документов требованиям, установленным в объявлении о проведении конкурса, предусмотренных Порядком;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недостоверность информации, содержащейся в документах, представленных претендентом в целях подтверждения соответствия установленным Порядком требованиям;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несоответствие претендента категории, установленной Порядком;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подача претендентом заявки после даты и (или) времени, определенных для подачи заявок в объявлении о проведении конкурса;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принятой и зарегистрированной заявки претендента, которая не была им отозвана, в случае подачи заявки лично на бумажном носителе и через ЦП МСП;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неустранение оснований для приостановления приема и регистрации заявки при представлении документов и (или) пояснений в случае подачи заявки через ЦП МСП.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Основаниями для приостановления приема и регистрации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заявки на ЦП МСП являются: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1) непредставление (представление не в полном объеме) документов, установленных в Порядке;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2) некорректное заполнение обязательных полей заявления на ЦП МСП (отсутствие заполнения, недостоверное, неполное или неправильное, не соответствующее требованиям, установленным Порядком);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3) представление электронных образов документов посредством ЦП МСП не позволяет в полном объеме прочитать текст документа и (или) распознать обязательные реквизиты документов;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4) наличие нечитаемых исправлений в представленных документах.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Отказ в приеме 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регистрации заявки или возврат заявки без рассмотрения (далее - аннулирование заявки) через ЦП МСП не препятствует повторному обращению претендента за предоставлением гранта до даты окончания приема заявок, установленной объявлением о проведении конкурса.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Претендент представляет документы и (или) пояснения, касающиеся сведений и данных, указанных в заявке, в срок не более 4 рабочих дней со дня направления. Уведомления о представлении документов в личный кабинет претендента ЦП МСП.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устранения претендентом оснований для приостановления прие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 и регистрации заявки, установленных Порядком, Управление регистрирует заявку в журнале регистрации не позднее 1 рабочего дня со дня представления претендентом дополнительных документов и (или) пояснений, касающихся сведений и данных, указанных в заявке.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неустранения претендентом оснований для приостановления приема и реги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страции заявки, установленных Порядком, Управление отказывает в приеме и регистрации заявки на ЦП МСП не позднее 1 рабочего дня со дня представления претендентом дополнительных документов и (или) пояснений, касающихся сведений и данных, указанных в заявке.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непредставления претендентом документов и (или) пояснений, касающихся сведений и данных, указанных в заявке, в срок, установленный в Порядке, заявка аннулируется.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675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ъем распределяемых грантов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в рамках конкурса, порядок расчета размера грантов, правила распределения грантов по результатам конкурса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1"/>
              <w:pBdr/>
              <w:spacing w:line="265" w:lineRule="exact"/>
              <w:ind w:right="190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Гранты предоставляются в размере не более 1 млн. руб. на одного получателя гранта.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Грант перечисляется получателю гранта единовременно в полном объеме средств, предусмотренных соглашением.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уменьшения управлению ранее доведенных лимитов б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юджетных обязательств, приводящего к невозможности предоставления гранта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 включаются в соглашение.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Внесение изменений в соглашение (расторжение соглашения) осуществляется на основании дополнительного соглашения в соответствии с типовой формой, установленной управлением финансов Липецкой области.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При увеличении объема средств, предусмотренных Законом об областном бюджете на указанные в настоящем Порядке цели, при наличии нераспределенных грантов, Управление проводит новый конкурс в соответствии с настоящим Порядком.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Управление размещает объявление о про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ведении нового конкурса на едином портале и сайте Управления с указанием даты начала подачи или окончания приема заявок претендентов, которая не может быть ранее 30-го календарного дня, следующего за днем размещения объявления о проведении нового конкурса.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течение 5 рабочих дней со дня, следующего за днем получения протокола, указанного в Порядке: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1) уполномоченное лицо: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а) осуществляет распределение грантов между претендентами на получение гранта в размере, указанном в Порядке, в следующем порядке: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если со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вокупный объем запрашиваемых претендентами на получение гранта согласно поданным на конкурс заявкам не превышает объема лимитов бюджетных обязательств, доведенных до управления, размер предоставляемого гранта устанавливается в объемах, указанных в заявках;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если совокупный объем запрашиваемых претендентами на получение гранта согласно поданным на конкурс заявкам превышает объем лимитов бюджетных обязательств, доведенных до управления, размер предоставляемого гран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та устанавливается исходя из сформированного рейтинга заявок в объемах, указанных в заявках. При недостаточности лимитов бюджетных обязательств, доведенных до управления, для обеспечения затрат, указанных в заявке в полном объеме, грант не предоставляется;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б) подготавливает проект приказа о предоставлении грантов из областного бюджета претендентами на получение гранта, который включает следующие сведения: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дата, время и место оценки конкурсной комиссией;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информацию об участниках конкурса, документы которых были оценены конкурсной комиссией;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информацию об участниках конкурса, заявки которых были отклонены конкурсной комиссией;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последовательность оц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енки документов участников конкурса, присвоенные документам участников конкурса значения по каждому из предусмотренных критериев оценки, принятое на основании результатов оценки указанных документов решение о присвоении таким документам порядковых номеров;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наименование претендентов на получение  гранта, с которым заключается соглашение, и размер предоставляемого им гранта.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2) начальник управления рассматривает и подписывает приказ о предоставлении грантов либо возвращает проект приказа для доработки;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3) уполномоченное лицо: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размещает приказ о предоставлении грантов на сайте управления и на едином портале;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направляет получателю гранта уведомление о необходимости: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осуществления государственную регистрацию в качестве субъекта малого предпринимательства и представить управлению </w:t>
            </w:r>
            <w:hyperlink w:tooltip="#P441" w:anchor="P44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сведения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о регистрации в качестве субъекта малого предпринимательства в течение 15 рабочих дней со дня, следующего за днем направления уведомления о государственной регистрации;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заключения соглашения о предоставлении гранта в течение 20 рабочих дней со дня, следующего за днем направления уведомления о заключении соглашения;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направляет претенденту на получение гранта, с которым не заключается соглашение, уведомление о незаключении с ним соглашения с указанием основания отказа.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Уведомление направляется способом, указанным в заявке, позволяющим установить факт и дату направления уведомления получателям гранта (или участникам конкурса), а в случае подачи заявки через ЦП МСП - в личный кабинет ЦП МСП.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подачи заявки через ЦП МСП соглашение заключается в электронной форме на ЦП МСП в срок, не превышающий 4 рабочих дней со дня утверждения приказа об утверждении перечня получателей гранта: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течение 2 рабочих дней со дня ут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верждения приказа об утверждении перечня получателей гранта управление направляет получателю гранта уведомление о предоставлении гранта и соглашение, подписанное ЭП уполномоченного должностного лица управления, в личный кабинет получателя гранта на ЦП МСП;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течение 2 рабочих дней со дня отправления соглашения получатель гранта направляет в адрес управления соглашение, подписанное ЭП со своей стороны.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Дополнительные соглашения к соглашению заключаются в бумажном виде либо на ЦП МСП (при наличии технической возможности).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Управление заключает с получателем гранта соглашение в день его обращения в соответствии с типовой формой, установленной управлением финансов Липецкой области.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незаключения соглашения грант не перечисляется.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Bdr/>
              <w:spacing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Порядок предоставления претендентам разъяснений положений объявления о проведении конкурса, даты начала и окончания срока такого предоставления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Bdr/>
              <w:spacing/>
              <w:ind w:right="186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Специалисты управления в течение срока приема заявок и документов предоставляют разъяснения положений настоящего объявления о конкурсном отборе по указанным в настоящем объявлении телефонам, электронной почте, адресу.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/>
              <w:ind w:right="186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65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Bdr/>
              <w:spacing/>
              <w:ind w:right="190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Порядок оценки заявок, включающего критерии оце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нки, показатели критериев оценки, и их весовое значение в общей оценке, необходимую для представления претендентом информацию по каждому критерию оценки, показателю критерия оценки, сведения, документы и материалы, подтверждающие такую информацию, минимал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ьный проходной балл, который необходимо набрать по результатам оценки заявок претендентом для признания их победителями конкурса, сроки оценки заявок, а также информацию об участии или неучастии комиссии и экспертов (экспертных организаций) в оценке заявок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течение 15 рабочих дней со дня, следующего за днем окончания срока подачи заявок, указанного в объявлении о проведении конкурса: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1) уполномоченное лицо: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рассматривает документы, проводит их проверку на соответствие предъявляемым Порядком требованиям;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принимает решение о допуске (об отказе в допуске) претендентов к участию в конкурсе;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оформляет принятое решение актом;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подготавливает проект приказа управления с отражением в нем следующей информации: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перечня претендентов, заявки которых были рассмотрены;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перечня претендентов, заявки которых допущены к участию в конкурсе;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перечень претендентов, заявки которых были отклонены, с указанием причин их отклонения, в том числе положений Порядка, которым не соответствуют такие заявки;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2) начальник управления подписывает приказ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3) уполномоченное лицо: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размещает приказ об утверждении перечня претендентов, заявки которых допущены (отклонены) к участию в конкурсе на сайте управления и на едином портале;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направляет претендентам, допущенным к участию в конкурс, уведомления с указанием места, даты и времени проведения конкурса;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направляет претендентам, не допущенным к участию в конкурсе, уведомления с указанием причин отказа в допуске к участию в конкурсе.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2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2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Уполномоченное лицо в течение 5 рабочих дн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ей со дня, следующего за днем размещения на едином портале и сайте управления приказа об утверждении перечня претендентов, заявки которых допущены (отклонены) к участию в конкурсе, передает документы участников конкурса на рассмотрение конкурсной комиссии.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Положение о конкурсной комиссии и ее составе утверждаются приказом управления.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состав конкурсной комиссии входят лица, замещающие должности государственной гражданской службы в управлении, представит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ели отраслевых органов исполнительной власти Липецкой области, региональной инфраструктуры поддержки малого и среднего предпринимательства Липецкой области, ассоциаций, союзов и иных объединений предпринимателей, действующих на территории Липецкой области.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Количественный состав конкурсной комиссии должен составлять не менее девяти человек.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Конкурсная комиссия в течение 10 рабочих дней со дня, следующего за дне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 получения документов, проводит оценку представленных документов и проектов исходя из наилучших условий достижения результатов предоставления гранта для обеспечения реализации проекта в порядке, установленном Порядком, и оформляет свое решение протоколом.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Оценка проектов, представленных в составе заявок претендентов, осуществляется по балльной системе.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Каждый член конкурсной комиссии, принимающий участие в ее заседании, в оценочном листе выставляет проекту, представленному в составе заявки претендента, соответствующий балл по каждому критерию оценки в соответствии с </w:t>
            </w:r>
            <w:hyperlink w:tooltip="#P125" w:anchor="P125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таблицей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настоящего пункта.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Оценка проекта участника конкурса по критериям оценки, указанным в </w:t>
            </w:r>
            <w:hyperlink w:tooltip="#P177" w:anchor="P177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строке 6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таблицы настоящего пункта, осуществляется конкурсной комиссией на основании презентации проекта участником конкурса или представителем участника конкурса в форме очного собеседования или видео-конференц-связи (да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лее - презентация проекта), которое включает рассмотрение информации по проекту, ответы на вопросы членов конкурсной комиссии в части обоснования расходования гранта, планируемых приобретений и планируемых производственно-экономических показателей проекта.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Уч</w:t>
            </w:r>
            <w:bookmarkStart w:id="1" w:name="пункт22размергранта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Start w:id="2" w:name="Пункт18оценка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1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2"/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астником конкурса и/или его представителем предъявляется документ, удостоверяющий его личность, а представителем также документ, подтверждающий его полномочия, оформленный в соответствии с действующим законодательством.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Критерии оценки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Таблица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tbl>
            <w:tblPr>
              <w:tblW w:w="6472" w:type="dxa"/>
              <w:tblInd w:w="116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3863"/>
              <w:gridCol w:w="1134"/>
              <w:gridCol w:w="850"/>
            </w:tblGrid>
            <w:tr>
              <w:trPr>
                <w:jc w:val="center"/>
              </w:trPr>
              <w:tc>
                <w:tcPr>
                  <w:tcBorders/>
                  <w:tcW w:w="62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№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п/п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highlight w:val="white"/>
                    </w:rPr>
                    <w:t xml:space="preserve">Наименование критерия оценки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highlight w:val="white"/>
                    </w:rPr>
                    <w:t xml:space="preserve">Максимальное количество баллов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highlight w:val="white"/>
                    </w:rPr>
                    <w:t xml:space="preserve">Весовое значение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highlight w:val="white"/>
                    </w:rPr>
                  </w:r>
                </w:p>
              </w:tc>
            </w:tr>
            <w:tr>
              <w:trPr>
                <w:jc w:val="center"/>
                <w:trHeight w:val="299"/>
              </w:trPr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3863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  <w:t xml:space="preserve">Срок существования бренда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  <w:t xml:space="preserve">0,1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  <w:t xml:space="preserve">более 3-х лет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  <w:t xml:space="preserve">менее 3-х лет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/>
                    <w:ind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Наличие у претендента необходимой для реализации проекта материально-технической базы (земельных участков, зданий, сооружений, помещений, предназначенных для осуществления предпринимательской деятельности)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</w:rPr>
                    <w:t xml:space="preserve">0,1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имеется в собственности (общедолевой собственности), на праве аренды с приложением документального подтверждения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hd w:val="clear" w:color="auto" w:fill="ffffff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не имеется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hd w:val="clear" w:color="auto" w:fill="ffffff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Наличие у претендента кадров с профессиональными знаниями и квалификацией, необходимыми для реализации проекта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0,05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/>
                    <w:ind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приложены копии документов, подтверждающих квалификацию персонала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hd w:val="clear" w:color="auto" w:fill="ffffff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/>
                    <w:ind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отсутствуют копии документов, подтверждающих квалификацию персонала для реализации проекта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hd w:val="clear" w:color="auto" w:fill="ffffff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Планируется создание новых рабочих мест в период реализации проекта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0,2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свыше 3 рабочих мест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менее 3 рабочих мест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highlight w:val="white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Оценка эффективности представленного проекта (оценивается по итогам презентации проекта) &lt;*&gt;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0,55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один голос члена комиссии «за»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  <w:tc>
                <w:tcPr>
                  <w:tcBorders/>
                  <w:tcW w:w="3863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один голос члена комиссии «против»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1134" w:type="dxa"/>
                  <w:textDirection w:val="lrTb"/>
                  <w:noWrap w:val="false"/>
                </w:tcPr>
                <w:p>
                  <w:pPr>
                    <w:pStyle w:val="912"/>
                    <w:pBdr/>
                    <w:spacing w:line="283" w:lineRule="atLeast"/>
                    <w:ind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850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&lt;*&gt; В случае неявки участника конкурса на презентацию проекта соответствующему критерию оценки присваивается минимальное значение балла.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баллов, присваиваемых каждому критерию оценки, определяется как среднее арифметическое оценок (в баллах) всех членов конкурсной комиссии, округленное до двух знаков после запятой, умноженное на весовое значение данного критерия оценки.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Итоговая оценка проекта, представленного в составе заявки, определяется как сумма полученных баллов по каждому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критерию оценки.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Участники конкурса, итоговые оценки проектов, представленных в составе заявок, которых составили 1,73 балла и более, признаются претендентами на получение гранта.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 основании итоговой оценки проекта, представленного в составе заявки, конкурсной комиссией присваивается каждой заявке порядковый номер (в порядке уменьшения суммы набранных при оценке баллов).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Если две или более заявок набрали при проведении оценки проектов одинаковую сумму баллов, меньший порядковый номер присваивается заявке, имеющей наибольшее количество планируемых к созданию новых рабочих мест.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Срок, в течение которого победители конкурса должен подписать соглашение о представлении гранта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аключения соглашения о предоставлении гранта в течение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10 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абочих дней со дня, следующего за днем получения уведомления о заключении соглашения;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подачи заявки через ЦП МСП соглашение заключается в электронной форме на ЦП МСП в срок, не превышающий 4 рабочих дней со дня утверждения приказа об утверждении перечня получателей гранта.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Дополнительные соглашения к соглашению заключаются в бумажном виде либо на ЦП МСП (при наличии технической возможности).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Управление заключает с получателем гранта соглашение в день его обращения в соответствии с типовой формой, установленной управлением финансов Липецкой области.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Условия признания победителей конкурса уклонившимся от заключения соглашения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незаключения соглашения грант не перечисляется.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роки размещения протокола подведения итогов конкурса/документа об итогах проведения конкурса на едином портале, а также на сайте управления, которые не могут быть позднее 14-го календарного дня, следующего за днем определения победителя конкурса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Уполномоченное лицо в течение 5 рабочих дней со дня, следующего за днем получения протокола конкурсной комиссии, размещает приказ о предоставлении грантов на сайте Управления и на едином портале.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14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Приложение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6803" w:type="dxa"/>
            <w:vMerge w:val="restart"/>
            <w:textDirection w:val="lrTb"/>
            <w:noWrap w:val="false"/>
          </w:tcPr>
          <w:p>
            <w:pPr>
              <w:pStyle w:val="910"/>
              <w:numPr>
                <w:ilvl w:val="0"/>
                <w:numId w:val="18"/>
              </w:numPr>
              <w:pBdr/>
              <w:tabs>
                <w:tab w:val="left" w:leader="none" w:pos="425"/>
              </w:tabs>
              <w:spacing/>
              <w:ind w:right="186" w:firstLine="0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форма заявки претендента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numPr>
                <w:ilvl w:val="0"/>
                <w:numId w:val="18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2" w:lineRule="atLeast"/>
              <w:ind w:right="186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нформация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 среднемесячной заработной плате за квартал,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2" w:lineRule="atLeast"/>
              <w:ind w:right="186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предшествующий дате подачи заявки 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Приложение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 Порядку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грантов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форме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субсидий субъектам малого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и среднего предпринимательства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(за исключением производственных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кооперативов, потребительских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кооперативов и крестьянских (фермерских)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хозяйств) на финансовое обеспечение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затрат, связанных с развитием местных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брендов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Липецкая область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№ 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заявки «__» ______ 20___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претендента на участие в конкурсе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/>
      </w:pPr>
      <w:r>
        <w:t xml:space="preserve">_________________________________________________________________________</w:t>
      </w:r>
      <w:r/>
    </w:p>
    <w:p>
      <w:pPr>
        <w:pBdr/>
        <w:spacing/>
        <w:ind/>
        <w:jc w:val="center"/>
        <w:rPr/>
      </w:pPr>
      <w:r>
        <w:t xml:space="preserve">(наименование юридического лица или фамилия, имя, отчество (при наличии)</w:t>
      </w:r>
      <w:r/>
    </w:p>
    <w:p>
      <w:pPr>
        <w:pBdr/>
        <w:spacing/>
        <w:ind/>
        <w:jc w:val="center"/>
        <w:rPr/>
      </w:pPr>
      <w:r>
        <w:t xml:space="preserve">индивидуального предпринимателя)</w: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both"/>
        <w:rPr/>
      </w:pPr>
      <w:r>
        <w:t xml:space="preserve">(далее – претендент) направляет заявку на участие в конкурсе на предоставление </w:t>
      </w:r>
      <w:r>
        <w:rPr>
          <w:color w:val="000000"/>
        </w:rPr>
        <w:t xml:space="preserve">грантов в форме </w:t>
      </w:r>
      <w:r>
        <w:rPr>
          <w:color w:val="000000"/>
          <w:highlight w:val="white"/>
        </w:rPr>
        <w:t xml:space="preserve">субсидий субъектам малого и среднего предпринимательства (за исключением производственных кооперативов, потребительских кооперативов и крестьянских (фермерских) хозяйств) на финансовое обеспечение затрат, связанных с развитием местных брендов</w:t>
      </w:r>
      <w:r>
        <w:rPr>
          <w:color w:val="000000"/>
        </w:rPr>
        <w:t xml:space="preserve"> в </w:t>
      </w:r>
      <w:r>
        <w:t xml:space="preserve">сумме ____________________(_____________________) руб.____ коп.</w:t>
      </w:r>
      <w:r/>
    </w:p>
    <w:p>
      <w:pPr>
        <w:pBdr/>
        <w:spacing/>
        <w:ind/>
        <w:jc w:val="both"/>
        <w:rPr/>
      </w:pPr>
      <w:r>
        <w:t xml:space="preserve">                                (сумма цифрами)              (сумма прописью)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в том числе за счет средств областного бюджета в сумме </w:t>
      </w:r>
      <w:r/>
    </w:p>
    <w:p>
      <w:pPr>
        <w:pBdr/>
        <w:spacing/>
        <w:ind/>
        <w:jc w:val="both"/>
        <w:rPr/>
      </w:pPr>
      <w:r>
        <w:t xml:space="preserve">______________________________(_______________________________) руб.____ коп.</w:t>
      </w:r>
      <w:r/>
    </w:p>
    <w:p>
      <w:pPr>
        <w:pBdr/>
        <w:spacing/>
        <w:ind/>
        <w:jc w:val="both"/>
        <w:rPr/>
      </w:pPr>
      <w:r>
        <w:t xml:space="preserve">                               (сумма цифрами)              (сумма прописью)</w:t>
      </w:r>
      <w:r/>
    </w:p>
    <w:p>
      <w:pPr>
        <w:pBdr/>
        <w:spacing/>
        <w:ind/>
        <w:jc w:val="both"/>
        <w:rPr/>
      </w:pPr>
      <w:r/>
      <w:r/>
    </w:p>
    <w:p>
      <w:pPr>
        <w:pStyle w:val="910"/>
        <w:pBdr/>
        <w:spacing/>
        <w:ind w:left="0"/>
        <w:jc w:val="center"/>
        <w:rPr>
          <w:b/>
        </w:rPr>
      </w:pPr>
      <w:r>
        <w:rPr>
          <w:b/>
        </w:rPr>
        <w:t xml:space="preserve">Общие сведения о претенденте </w:t>
      </w:r>
      <w:r>
        <w:rPr>
          <w:b/>
        </w:rPr>
      </w:r>
      <w:r>
        <w:rPr>
          <w:b/>
        </w:rPr>
      </w:r>
    </w:p>
    <w:p>
      <w:pPr>
        <w:pStyle w:val="910"/>
        <w:pBdr/>
        <w:spacing/>
        <w:ind w:left="0"/>
        <w:jc w:val="right"/>
        <w:rPr>
          <w:bCs/>
        </w:rPr>
      </w:pPr>
      <w:r>
        <w:rPr>
          <w:bCs/>
        </w:rPr>
        <w:t xml:space="preserve">таблица 1</w:t>
      </w:r>
      <w:r>
        <w:rPr>
          <w:bCs/>
        </w:rPr>
      </w:r>
      <w:r>
        <w:rPr>
          <w:bCs/>
        </w:rPr>
      </w:r>
    </w:p>
    <w:tbl>
      <w:tblPr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96"/>
        <w:gridCol w:w="5508"/>
        <w:gridCol w:w="3577"/>
      </w:tblGrid>
      <w:tr>
        <w:trPr>
          <w:trHeight w:val="514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п/п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Наименование  сведений о претенденте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Сведения о претенденте</w:t>
            </w:r>
            <w:r/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Ф.И.О. руководителя юридического лица (индивидуального предпринимателя)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ИНН руководителя юридического лица (индивидуального предпринимателя)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ИНН главного бухгалтера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Идентификационный номер налогоплательщика (ИНН) претендента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Код основного вида экономической деятельности по ОКВЭД (с указанием код ОКВЭД)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Местонахождение/почтовый адрес или адрес регистрации по месту жительства (индивидуального предпринимателя)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Юридический адрес (индекс, город, улица, номер дома)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Ф.И.О. ответственного исполнителя по проекту, должность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0"/>
              <w:rPr/>
            </w:pPr>
            <w:r>
              <w:t xml:space="preserve">Телефон, e-mail 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915"/>
        <w:pBdr/>
        <w:spacing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Грант будет направлен на финансовое обеспечение затрат, указанных в таблице 2 «План расходов», по указанным направлениям расходов.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Таблица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План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расходов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tbl>
      <w:tblPr>
        <w:tblW w:w="9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3493"/>
        <w:gridCol w:w="992"/>
        <w:gridCol w:w="784"/>
        <w:gridCol w:w="2051"/>
        <w:gridCol w:w="1701"/>
      </w:tblGrid>
      <w:tr>
        <w:trPr/>
        <w:tc>
          <w:tcPr>
            <w:tcBorders/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vAlign w:val="center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Направления затрат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gridSpan w:val="2"/>
            <w:tcBorders/>
            <w:tcW w:w="1776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 w:left="5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Ориентировочная цена, руб./ед.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vAlign w:val="bottom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Сумма, руб.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>
          <w:trHeight w:val="450"/>
        </w:trPr>
        <w:tc>
          <w:tcPr>
            <w:tcBorders/>
            <w:tcW w:w="6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34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за счет средств гранта 70 % затрат, руб., но не более             1 000 тыс. руб.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за счет собственных средств, но не менее 30 %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от размера предоставленного гранта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, руб.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</w:tbl>
    <w:p>
      <w:pPr>
        <w:pStyle w:val="912"/>
        <w:pBdr/>
        <w:spacing/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1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 условиями и порядком предоставления гранта ознакомлен и обязуюсь: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использовать полученные средства по целевому назначению в строгом соответствии с 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аправлениями затрат, указанными в плане расходов, и оплачивать за счет собственных средств не менее 30 % от размера предоставленного гранта;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использовать грант в течение 12 месяцев со дня поступления гранта на его расчетный счет;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2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обеспечить ведение раздельного учета доходов и расходов средств гранта в соответствии с действующим законодательством и доступ к данной информации;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2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обеспечить ведение обособленного аналитического учета операций, осуществляемых за счет гранта;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создать не менее 1 нового рабочего места (на полную ставку) в течение 12 месяцев со дня поступления гранта на расчетный счет;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осуществлять деятельность и сохранять созданное рабочее место в течение не менее двух лет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 дня поступления гранта на расчетный счет.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Подтверждаю полноту и достоверность сведений, содержащихся в заявке и прилагаемых к ней документах, а также, что на дату подачи заявки: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- не являюсь иностранным юридическим лицом, в том числе мес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том регистрации которого является государство или территория, включенные в утвержден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(в том  числе со статусом международно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нахожусь в составляемых в рамках реализации полномочий, предусмотренных </w:t>
      </w:r>
      <w:hyperlink r:id="rId20" w:tooltip="https://login.consultant.ru/link/?req=doc&amp;base=LAW&amp;n=121087&amp;dst=100142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</w:rPr>
          <w:t xml:space="preserve">главой VII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являюсь получателем средства из бюджета Липецкой области на основании иных нормативных правовых актов;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являюсь иностранным агентом в соответствии с Федеральным </w:t>
      </w:r>
      <w:hyperlink r:id="rId21" w:tooltip="https://login.consultant.ru/link/?req=doc&amp;base=LAW&amp;n=452913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cs="Times New Roman"/>
          <w:color w:val="0000ff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14 июля 2022 года №255-ФЗ «О контроле за деятельностью лиц, находящихся по иностранным влиянием»;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нахожусь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нахожусь в процессе реорганизации (за исключением реорганизации в форме присоедине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ния к юридическому лицу, являющемуся получателем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  <w:t xml:space="preserve">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</w:t>
      </w:r>
      <w:r>
        <w:rPr>
          <w:rFonts w:ascii="TimesNewRoman" w:hAnsi="TimesNewRoman" w:eastAsia="TimesNewRoman" w:cs="TimesNew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управлению экономического развития Липецкой области на обработ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ку, то есть совершение действий, предусмотренных частью 3 статьи 3 Федерального закона от 27 июля 2006 года № 152-ФЗ «О персональных данных», моих персональных данных, указанных в представленных мною документах и необходимых для предоставления мне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8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Настоящее согласие действует с даты подписания и в течение всего срока предоставления указанного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8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результатах конкурса и заключении соглашения прошу уведомить следующим образом: ____________________________________________________________________.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претендента  _______________________   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(должность)                      (подпись)          (Ф.И.О. полностью)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претендента ___________   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(Ф.И.О. полностью)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«__» _____________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>
          <w:bottom w:val="single" w:color="000000" w:sz="12" w:space="0"/>
        </w:pBdr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>
          <w:bottom w:val="single" w:color="000000" w:sz="12" w:space="0"/>
        </w:pBdr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2"/>
        <w:pBdr/>
        <w:spacing/>
        <w:ind w:firstLine="567"/>
        <w:jc w:val="center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(линия отреза)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Заявка и прилагаемые к ней документы на ______ листах приняты должностным лицом управления экономического развития Липецкой области (далее – управление) 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(Ф.И.О. должностного лица управления полностью)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«__» ___________ 20__ г.  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(подпись должностного лица управления)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0" w:type="auto"/>
        <w:tblInd w:w="4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211"/>
      </w:tblGrid>
      <w:tr>
        <w:trPr>
          <w:trHeight w:val="35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Приложение 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к Порядку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предоставления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грантов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 форме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субсидий субъектам малого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и среднего предпринимательства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(за исключением производственных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кооперативов, потребительских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кооперативов и крестьянских (фермерских)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хозяйств) на финансовое 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затрат, связанных с развитием местных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брендов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</w:tbl>
    <w:p>
      <w:pPr>
        <w:pStyle w:val="912"/>
        <w:pBdr/>
        <w:spacing/>
        <w:ind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за квартал,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предшествующий дате подачи заявки претендента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5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793"/>
        <w:gridCol w:w="2409"/>
        <w:gridCol w:w="1328"/>
        <w:gridCol w:w="1752"/>
      </w:tblGrid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квартал, предшествующий дате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табель учета рабочего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по страховым взносам (форма по КНД 1151111)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 списочного состава, внешних совместителей и работников, выполнявших работы по договорам гражданско-правового характера, и других лиц несписочного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Расчетно-платежная ведомость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 списочного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состава (без внешних совместителей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работников, выполнявших работы по договорам гражданско-правового характера, и других лиц несписочного состава)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Расчетно-платежная ведомость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заработанная плата на одного работника списочного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4 / строка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претендента      _______________      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(Ф.И.О. полностью)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40" w:orient="portrait" w:w="11910"/>
      <w:pgMar w:top="480" w:right="429" w:bottom="280" w:left="1276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140" w:left="2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40" w:left="1310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140" w:left="2361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140" w:left="3411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140" w:left="446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40" w:left="5513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140" w:left="6563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140" w:left="7614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140" w:left="8665"/>
      </w:pPr>
      <w:rPr>
        <w:rFonts w:hint="default"/>
        <w:lang w:val="ru-RU" w:eastAsia="en-US" w:bidi="ar-SA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ascii="Times New Roman" w:hAnsi="Times New Roman" w:eastAsia="Calibri" w:cs="Times New Roman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space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260" w:left="1008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0" w:left="159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60" w:left="219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60" w:left="279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60" w:left="339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60" w:left="399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60" w:left="458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60" w:left="518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60" w:left="5785"/>
      </w:pPr>
      <w:rPr>
        <w:rFonts w:hint="default"/>
        <w:lang w:val="ru-RU" w:eastAsia="en-US" w:bidi="ar-SA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272" w:left="107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72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72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72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72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72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72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72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72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159" w:left="10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59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159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159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159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59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159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159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159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862" w:left="107"/>
      </w:pPr>
      <w:rPr>
        <w:rFonts w:hint="default" w:ascii="Times New Roman" w:hAnsi="Times New Roman" w:eastAsia="Times New Roman" w:cs="Times New Roman"/>
        <w:spacing w:val="-6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862" w:left="107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en-US" w:bidi="ar-SA"/>
      </w:rPr>
      <w:start w:val="2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862" w:left="1523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2066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2612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3158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3704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425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797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5343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889"/>
      </w:pPr>
      <w:rPr>
        <w:rFonts w:hint="default"/>
        <w:lang w:val="ru-RU" w:eastAsia="en-US" w:bidi="ar-SA"/>
      </w:rPr>
      <w:start w:val="1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ascii="Calibri" w:hAnsi="Calibri" w:eastAsia="Times New Roman" w:cs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1110" w:left="172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9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1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3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5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7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9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1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34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36" w:left="107"/>
      </w:pPr>
      <w:rPr>
        <w:rFonts w:hint="default" w:ascii="Times New Roman" w:hAnsi="Times New Roman" w:eastAsia="Times New Roman" w:cs="Times New Roman"/>
        <w:spacing w:val="-26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36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36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336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336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336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336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336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336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75" w:left="942"/>
      </w:pPr>
      <w:rPr>
        <w:rFonts w:hint="default"/>
      </w:rPr>
      <w:start w:val="14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space"/>
    </w:lvl>
  </w:abstractNum>
  <w:abstractNum w:abstractNumId="17">
    <w:lvl w:ilvl="0">
      <w:isLgl w:val="false"/>
      <w:lvlJc w:val="left"/>
      <w:lvlText w:val="%1."/>
      <w:numFmt w:val="upperRoman"/>
      <w:pPr>
        <w:pBdr/>
        <w:spacing/>
        <w:ind w:hanging="720" w:left="3556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91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463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535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607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79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751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823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956"/>
      </w:pPr>
      <w:rPr/>
      <w:start w:val="1"/>
      <w:suff w:val="tab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  <w:num w:numId="15">
    <w:abstractNumId w:val="9"/>
  </w:num>
  <w:num w:numId="16">
    <w:abstractNumId w:val="3"/>
  </w:num>
  <w:num w:numId="17">
    <w:abstractNumId w:val="6"/>
  </w:num>
  <w:num w:numId="18">
    <w:abstractNumId w:val="1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705">
    <w:name w:val="Heading 1"/>
    <w:basedOn w:val="704"/>
    <w:link w:val="741"/>
    <w:uiPriority w:val="1"/>
    <w:qFormat/>
    <w:pPr>
      <w:pBdr/>
      <w:spacing w:before="89"/>
      <w:ind w:right="591"/>
      <w:jc w:val="right"/>
      <w:outlineLvl w:val="0"/>
    </w:pPr>
    <w:rPr>
      <w:sz w:val="26"/>
      <w:szCs w:val="26"/>
    </w:rPr>
  </w:style>
  <w:style w:type="paragraph" w:styleId="706">
    <w:name w:val="Heading 2"/>
    <w:basedOn w:val="704"/>
    <w:next w:val="704"/>
    <w:link w:val="7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74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4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11">
    <w:name w:val="Heading 7"/>
    <w:basedOn w:val="704"/>
    <w:next w:val="704"/>
    <w:link w:val="74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12">
    <w:name w:val="Heading 8"/>
    <w:basedOn w:val="704"/>
    <w:next w:val="704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13">
    <w:name w:val="Heading 9"/>
    <w:basedOn w:val="704"/>
    <w:next w:val="704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  <w:pPr>
      <w:pBdr/>
      <w:spacing/>
      <w:ind/>
    </w:pPr>
  </w:style>
  <w:style w:type="table" w:styleId="71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6" w:default="1">
    <w:name w:val="No List"/>
    <w:uiPriority w:val="99"/>
    <w:semiHidden/>
    <w:unhideWhenUsed/>
    <w:pPr>
      <w:pBdr/>
      <w:spacing/>
      <w:ind/>
    </w:pPr>
  </w:style>
  <w:style w:type="character" w:styleId="717" w:customStyle="1">
    <w:name w:val="Heading 1 Char"/>
    <w:basedOn w:val="71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18" w:customStyle="1">
    <w:name w:val="Heading 2 Char"/>
    <w:basedOn w:val="71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19" w:customStyle="1">
    <w:name w:val="Heading 3 Char"/>
    <w:basedOn w:val="71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20" w:customStyle="1">
    <w:name w:val="Heading 4 Char"/>
    <w:basedOn w:val="714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21" w:customStyle="1">
    <w:name w:val="Heading 5 Char"/>
    <w:basedOn w:val="71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22" w:customStyle="1">
    <w:name w:val="Heading 6 Char"/>
    <w:basedOn w:val="71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3" w:customStyle="1">
    <w:name w:val="Heading 7 Char"/>
    <w:basedOn w:val="71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4" w:customStyle="1">
    <w:name w:val="Heading 8 Char"/>
    <w:basedOn w:val="7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 w:customStyle="1">
    <w:name w:val="Heading 9 Char"/>
    <w:basedOn w:val="7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6" w:customStyle="1">
    <w:name w:val="Title Char"/>
    <w:basedOn w:val="7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7" w:customStyle="1">
    <w:name w:val="Subtitle Char"/>
    <w:basedOn w:val="7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8" w:customStyle="1">
    <w:name w:val="Quote Char"/>
    <w:basedOn w:val="7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9" w:customStyle="1">
    <w:name w:val="Intense Quote Char"/>
    <w:basedOn w:val="714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730" w:customStyle="1">
    <w:name w:val="Header Char"/>
    <w:basedOn w:val="714"/>
    <w:uiPriority w:val="99"/>
    <w:pPr>
      <w:pBdr/>
      <w:spacing/>
      <w:ind/>
    </w:pPr>
  </w:style>
  <w:style w:type="character" w:styleId="731" w:customStyle="1">
    <w:name w:val="Footnote Text Char"/>
    <w:basedOn w:val="714"/>
    <w:uiPriority w:val="99"/>
    <w:semiHidden/>
    <w:pPr>
      <w:pBdr/>
      <w:spacing/>
      <w:ind/>
    </w:pPr>
    <w:rPr>
      <w:sz w:val="20"/>
      <w:szCs w:val="20"/>
    </w:rPr>
  </w:style>
  <w:style w:type="character" w:styleId="732" w:customStyle="1">
    <w:name w:val="Endnote Text Char"/>
    <w:basedOn w:val="714"/>
    <w:uiPriority w:val="99"/>
    <w:semiHidden/>
    <w:pPr>
      <w:pBdr/>
      <w:spacing/>
      <w:ind/>
    </w:pPr>
    <w:rPr>
      <w:sz w:val="20"/>
      <w:szCs w:val="20"/>
    </w:rPr>
  </w:style>
  <w:style w:type="character" w:styleId="733">
    <w:name w:val="Intense Emphasis"/>
    <w:basedOn w:val="714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34">
    <w:name w:val="Intense Reference"/>
    <w:basedOn w:val="714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35">
    <w:name w:val="Subtle Emphasis"/>
    <w:basedOn w:val="71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6">
    <w:name w:val="Emphasis"/>
    <w:basedOn w:val="714"/>
    <w:uiPriority w:val="20"/>
    <w:qFormat/>
    <w:pPr>
      <w:pBdr/>
      <w:spacing/>
      <w:ind/>
    </w:pPr>
    <w:rPr>
      <w:i/>
      <w:iCs/>
    </w:rPr>
  </w:style>
  <w:style w:type="character" w:styleId="737">
    <w:name w:val="Strong"/>
    <w:basedOn w:val="714"/>
    <w:uiPriority w:val="22"/>
    <w:qFormat/>
    <w:pPr>
      <w:pBdr/>
      <w:spacing/>
      <w:ind/>
    </w:pPr>
    <w:rPr>
      <w:b/>
      <w:bCs/>
    </w:rPr>
  </w:style>
  <w:style w:type="character" w:styleId="738">
    <w:name w:val="Subtle Reference"/>
    <w:basedOn w:val="71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9">
    <w:name w:val="Book Title"/>
    <w:basedOn w:val="71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0">
    <w:name w:val="FollowedHyperlink"/>
    <w:basedOn w:val="714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41" w:customStyle="1">
    <w:name w:val="Заголовок 1 Знак"/>
    <w:basedOn w:val="714"/>
    <w:link w:val="7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14"/>
    <w:link w:val="70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14"/>
    <w:link w:val="70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basedOn w:val="714"/>
    <w:link w:val="70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14"/>
    <w:link w:val="70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14"/>
    <w:link w:val="71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14"/>
    <w:link w:val="71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14"/>
    <w:link w:val="71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14"/>
    <w:link w:val="7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pBdr/>
      <w:spacing/>
      <w:ind/>
    </w:pPr>
  </w:style>
  <w:style w:type="paragraph" w:styleId="751">
    <w:name w:val="Title"/>
    <w:basedOn w:val="704"/>
    <w:next w:val="704"/>
    <w:link w:val="7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2" w:customStyle="1">
    <w:name w:val="Заголовок Знак"/>
    <w:basedOn w:val="714"/>
    <w:link w:val="751"/>
    <w:uiPriority w:val="10"/>
    <w:pPr>
      <w:pBdr/>
      <w:spacing/>
      <w:ind/>
    </w:pPr>
    <w:rPr>
      <w:sz w:val="48"/>
      <w:szCs w:val="48"/>
    </w:rPr>
  </w:style>
  <w:style w:type="paragraph" w:styleId="753">
    <w:name w:val="Subtitle"/>
    <w:basedOn w:val="704"/>
    <w:next w:val="704"/>
    <w:link w:val="7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4" w:customStyle="1">
    <w:name w:val="Подзаголовок Знак"/>
    <w:basedOn w:val="714"/>
    <w:link w:val="753"/>
    <w:uiPriority w:val="11"/>
    <w:pPr>
      <w:pBdr/>
      <w:spacing/>
      <w:ind/>
    </w:pPr>
    <w:rPr>
      <w:sz w:val="24"/>
      <w:szCs w:val="24"/>
    </w:rPr>
  </w:style>
  <w:style w:type="paragraph" w:styleId="755">
    <w:name w:val="Quote"/>
    <w:basedOn w:val="704"/>
    <w:next w:val="704"/>
    <w:link w:val="756"/>
    <w:uiPriority w:val="29"/>
    <w:qFormat/>
    <w:pPr>
      <w:pBdr/>
      <w:spacing/>
      <w:ind w:right="720" w:left="720"/>
    </w:pPr>
    <w:rPr>
      <w:i/>
    </w:rPr>
  </w:style>
  <w:style w:type="character" w:styleId="756" w:customStyle="1">
    <w:name w:val="Цитата 2 Знак"/>
    <w:link w:val="755"/>
    <w:uiPriority w:val="29"/>
    <w:pPr>
      <w:pBdr/>
      <w:spacing/>
      <w:ind/>
    </w:pPr>
    <w:rPr>
      <w:i/>
    </w:rPr>
  </w:style>
  <w:style w:type="paragraph" w:styleId="757">
    <w:name w:val="Intense Quote"/>
    <w:basedOn w:val="704"/>
    <w:next w:val="704"/>
    <w:link w:val="7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8" w:customStyle="1">
    <w:name w:val="Выделенная цитата Знак"/>
    <w:link w:val="757"/>
    <w:uiPriority w:val="30"/>
    <w:pPr>
      <w:pBdr/>
      <w:spacing/>
      <w:ind/>
    </w:pPr>
    <w:rPr>
      <w:i/>
    </w:rPr>
  </w:style>
  <w:style w:type="paragraph" w:styleId="759">
    <w:name w:val="Header"/>
    <w:basedOn w:val="704"/>
    <w:link w:val="76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60" w:customStyle="1">
    <w:name w:val="Верхний колонтитул Знак"/>
    <w:basedOn w:val="714"/>
    <w:link w:val="759"/>
    <w:uiPriority w:val="99"/>
    <w:pPr>
      <w:pBdr/>
      <w:spacing/>
      <w:ind/>
    </w:pPr>
  </w:style>
  <w:style w:type="paragraph" w:styleId="761">
    <w:name w:val="Footer"/>
    <w:basedOn w:val="704"/>
    <w:link w:val="76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62" w:customStyle="1">
    <w:name w:val="Footer Char"/>
    <w:basedOn w:val="714"/>
    <w:uiPriority w:val="99"/>
    <w:pPr>
      <w:pBdr/>
      <w:spacing/>
      <w:ind/>
    </w:pPr>
  </w:style>
  <w:style w:type="paragraph" w:styleId="763">
    <w:name w:val="Caption"/>
    <w:basedOn w:val="704"/>
    <w:next w:val="70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4" w:customStyle="1">
    <w:name w:val="Нижний колонтитул Знак"/>
    <w:link w:val="761"/>
    <w:uiPriority w:val="99"/>
    <w:pPr>
      <w:pBdr/>
      <w:spacing/>
      <w:ind/>
    </w:pPr>
  </w:style>
  <w:style w:type="table" w:styleId="765">
    <w:name w:val="Table Grid"/>
    <w:basedOn w:val="71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Table Grid Light"/>
    <w:basedOn w:val="715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1"/>
    <w:basedOn w:val="715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2"/>
    <w:basedOn w:val="715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3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4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5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1 Light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1 Light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1 Light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1 Light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1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2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2 - Accent 3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2 - Accent 4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2 - Accent 5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2 - Accent 6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1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2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3 - Accent 3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3 - Accent 4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3 - Accent 5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3 - Accent 6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1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2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4 - Accent 3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4 - Accent 4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4 - Accent 5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4 - Accent 6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5 Dark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5 Dark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5 Dark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5 Dark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6 Colorful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6 Colorful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6 Colorful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6 Colorful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1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2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7 Colorful - Accent 3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7 Colorful - Accent 4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7 Colorful - Accent 5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7 Colorful - Accent 6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1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2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1 Light - Accent 3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1 Light - Accent 4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1 Light - Accent 5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1 Light - Accent 6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2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2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2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2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3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3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3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3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4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4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4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4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5 Dark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5 Dark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5 Dark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5 Dark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6 Colorful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6 Colorful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6 Colorful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6 Colorful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1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2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7 Colorful - Accent 3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7 Colorful - Accent 4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7 Colorful - Accent 5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7 Colorful - Accent 6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1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2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ned - Accent 3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ned - Accent 4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ned - Accent 5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ned - Accent 6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1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2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&amp; Lined - Accent 3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&amp; Lined - Accent 4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&amp; Lined - Accent 5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&amp; Lined - Accent 6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1">
    <w:name w:val="footnote text"/>
    <w:basedOn w:val="704"/>
    <w:link w:val="892"/>
    <w:uiPriority w:val="99"/>
    <w:semiHidden/>
    <w:unhideWhenUsed/>
    <w:pPr>
      <w:pBdr/>
      <w:spacing w:after="40"/>
      <w:ind/>
    </w:pPr>
    <w:rPr>
      <w:sz w:val="18"/>
    </w:rPr>
  </w:style>
  <w:style w:type="character" w:styleId="892" w:customStyle="1">
    <w:name w:val="Текст сноски Знак"/>
    <w:link w:val="891"/>
    <w:uiPriority w:val="99"/>
    <w:pPr>
      <w:pBdr/>
      <w:spacing/>
      <w:ind/>
    </w:pPr>
    <w:rPr>
      <w:sz w:val="18"/>
    </w:rPr>
  </w:style>
  <w:style w:type="character" w:styleId="893">
    <w:name w:val="footnote reference"/>
    <w:basedOn w:val="714"/>
    <w:uiPriority w:val="99"/>
    <w:unhideWhenUsed/>
    <w:pPr>
      <w:pBdr/>
      <w:spacing/>
      <w:ind/>
    </w:pPr>
    <w:rPr>
      <w:vertAlign w:val="superscript"/>
    </w:rPr>
  </w:style>
  <w:style w:type="paragraph" w:styleId="894">
    <w:name w:val="endnote text"/>
    <w:basedOn w:val="704"/>
    <w:link w:val="895"/>
    <w:uiPriority w:val="99"/>
    <w:semiHidden/>
    <w:unhideWhenUsed/>
    <w:pPr>
      <w:pBdr/>
      <w:spacing/>
      <w:ind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pPr>
      <w:pBdr/>
      <w:spacing/>
      <w:ind/>
    </w:pPr>
    <w:rPr>
      <w:sz w:val="20"/>
    </w:rPr>
  </w:style>
  <w:style w:type="character" w:styleId="896">
    <w:name w:val="endnote reference"/>
    <w:basedOn w:val="714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toc 1"/>
    <w:basedOn w:val="704"/>
    <w:next w:val="704"/>
    <w:uiPriority w:val="39"/>
    <w:unhideWhenUsed/>
    <w:pPr>
      <w:pBdr/>
      <w:spacing w:after="57"/>
      <w:ind/>
    </w:pPr>
  </w:style>
  <w:style w:type="paragraph" w:styleId="898">
    <w:name w:val="toc 2"/>
    <w:basedOn w:val="704"/>
    <w:next w:val="704"/>
    <w:uiPriority w:val="39"/>
    <w:unhideWhenUsed/>
    <w:pPr>
      <w:pBdr/>
      <w:spacing w:after="57"/>
      <w:ind w:left="283"/>
    </w:pPr>
  </w:style>
  <w:style w:type="paragraph" w:styleId="899">
    <w:name w:val="toc 3"/>
    <w:basedOn w:val="704"/>
    <w:next w:val="704"/>
    <w:uiPriority w:val="39"/>
    <w:unhideWhenUsed/>
    <w:pPr>
      <w:pBdr/>
      <w:spacing w:after="57"/>
      <w:ind w:left="567"/>
    </w:pPr>
  </w:style>
  <w:style w:type="paragraph" w:styleId="900">
    <w:name w:val="toc 4"/>
    <w:basedOn w:val="704"/>
    <w:next w:val="704"/>
    <w:uiPriority w:val="39"/>
    <w:unhideWhenUsed/>
    <w:pPr>
      <w:pBdr/>
      <w:spacing w:after="57"/>
      <w:ind w:left="850"/>
    </w:pPr>
  </w:style>
  <w:style w:type="paragraph" w:styleId="901">
    <w:name w:val="toc 5"/>
    <w:basedOn w:val="704"/>
    <w:next w:val="704"/>
    <w:uiPriority w:val="39"/>
    <w:unhideWhenUsed/>
    <w:pPr>
      <w:pBdr/>
      <w:spacing w:after="57"/>
      <w:ind w:left="1134"/>
    </w:pPr>
  </w:style>
  <w:style w:type="paragraph" w:styleId="902">
    <w:name w:val="toc 6"/>
    <w:basedOn w:val="704"/>
    <w:next w:val="704"/>
    <w:uiPriority w:val="39"/>
    <w:unhideWhenUsed/>
    <w:pPr>
      <w:pBdr/>
      <w:spacing w:after="57"/>
      <w:ind w:left="1417"/>
    </w:pPr>
  </w:style>
  <w:style w:type="paragraph" w:styleId="903">
    <w:name w:val="toc 7"/>
    <w:basedOn w:val="704"/>
    <w:next w:val="704"/>
    <w:uiPriority w:val="39"/>
    <w:unhideWhenUsed/>
    <w:pPr>
      <w:pBdr/>
      <w:spacing w:after="57"/>
      <w:ind w:left="1701"/>
    </w:pPr>
  </w:style>
  <w:style w:type="paragraph" w:styleId="904">
    <w:name w:val="toc 8"/>
    <w:basedOn w:val="704"/>
    <w:next w:val="704"/>
    <w:uiPriority w:val="39"/>
    <w:unhideWhenUsed/>
    <w:pPr>
      <w:pBdr/>
      <w:spacing w:after="57"/>
      <w:ind w:left="1984"/>
    </w:pPr>
  </w:style>
  <w:style w:type="paragraph" w:styleId="905">
    <w:name w:val="toc 9"/>
    <w:basedOn w:val="704"/>
    <w:next w:val="704"/>
    <w:uiPriority w:val="39"/>
    <w:unhideWhenUsed/>
    <w:pPr>
      <w:pBdr/>
      <w:spacing w:after="57"/>
      <w:ind w:left="2268"/>
    </w:p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>
    <w:name w:val="table of figures"/>
    <w:basedOn w:val="704"/>
    <w:next w:val="704"/>
    <w:uiPriority w:val="99"/>
    <w:unhideWhenUsed/>
    <w:pPr>
      <w:pBdr/>
      <w:spacing/>
      <w:ind/>
    </w:pPr>
  </w:style>
  <w:style w:type="table" w:styleId="908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9">
    <w:name w:val="Body Text"/>
    <w:basedOn w:val="704"/>
    <w:uiPriority w:val="1"/>
    <w:qFormat/>
    <w:pPr>
      <w:pBdr/>
      <w:spacing/>
      <w:ind/>
    </w:pPr>
    <w:rPr>
      <w:sz w:val="24"/>
      <w:szCs w:val="24"/>
    </w:rPr>
  </w:style>
  <w:style w:type="paragraph" w:styleId="910">
    <w:name w:val="List Paragraph"/>
    <w:basedOn w:val="704"/>
    <w:uiPriority w:val="99"/>
    <w:qFormat/>
    <w:pPr>
      <w:pBdr/>
      <w:spacing/>
      <w:ind w:left="252"/>
      <w:jc w:val="both"/>
    </w:pPr>
  </w:style>
  <w:style w:type="paragraph" w:styleId="911" w:customStyle="1">
    <w:name w:val="Table Paragraph"/>
    <w:basedOn w:val="704"/>
    <w:uiPriority w:val="1"/>
    <w:qFormat/>
    <w:pPr>
      <w:pBdr/>
      <w:spacing/>
      <w:ind w:left="107"/>
    </w:pPr>
  </w:style>
  <w:style w:type="paragraph" w:styleId="912" w:customStyle="1">
    <w:name w:val="ConsPlusNormal"/>
    <w:pPr>
      <w:pBdr/>
      <w:spacing/>
      <w:ind/>
    </w:pPr>
    <w:rPr>
      <w:rFonts w:ascii="Calibri" w:hAnsi="Calibri" w:eastAsia="Times New Roman" w:cs="Calibri"/>
      <w:szCs w:val="20"/>
      <w:lang w:val="ru-RU" w:eastAsia="ru-RU"/>
    </w:rPr>
  </w:style>
  <w:style w:type="paragraph" w:styleId="913">
    <w:name w:val="HTML Preformatted"/>
    <w:basedOn w:val="704"/>
    <w:link w:val="914"/>
    <w:uiPriority w:val="99"/>
    <w:semiHidden/>
    <w:unhideWhenUsed/>
    <w:pPr>
      <w:widowControl w:val="true"/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Calibri"/>
      <w:sz w:val="20"/>
      <w:szCs w:val="20"/>
      <w:lang w:eastAsia="ru-RU"/>
    </w:rPr>
  </w:style>
  <w:style w:type="character" w:styleId="914" w:customStyle="1">
    <w:name w:val="Стандартный HTML Знак"/>
    <w:basedOn w:val="714"/>
    <w:link w:val="913"/>
    <w:uiPriority w:val="99"/>
    <w:semiHidden/>
    <w:pPr>
      <w:pBdr/>
      <w:spacing/>
      <w:ind/>
    </w:pPr>
    <w:rPr>
      <w:rFonts w:ascii="Courier New" w:hAnsi="Courier New" w:eastAsia="Calibri" w:cs="Times New Roman"/>
      <w:sz w:val="20"/>
      <w:szCs w:val="20"/>
      <w:lang w:val="ru-RU" w:eastAsia="ru-RU"/>
    </w:rPr>
  </w:style>
  <w:style w:type="paragraph" w:styleId="915" w:customStyle="1">
    <w:name w:val="ConsPlusNonformat"/>
    <w:pPr>
      <w:pBdr/>
      <w:spacing/>
      <w:ind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916">
    <w:name w:val="Hyperlink"/>
    <w:basedOn w:val="714"/>
    <w:uiPriority w:val="99"/>
    <w:unhideWhenUsed/>
    <w:pPr>
      <w:pBdr/>
      <w:spacing/>
      <w:ind/>
    </w:pPr>
    <w:rPr>
      <w:color w:val="0000ff"/>
      <w:u w:val="single"/>
    </w:rPr>
  </w:style>
  <w:style w:type="character" w:styleId="917" w:customStyle="1">
    <w:name w:val="allowtextselection"/>
    <w:basedOn w:val="714"/>
    <w:pPr>
      <w:pBdr/>
      <w:spacing/>
      <w:ind/>
    </w:pPr>
  </w:style>
  <w:style w:type="paragraph" w:styleId="918" w:customStyle="1">
    <w:name w:val="Стандартный HTML1"/>
    <w:uiPriority w:val="99"/>
    <w:semiHidden/>
    <w:unhideWhenUsed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Times New Roman" w:cs="Courier New"/>
      <w:sz w:val="20"/>
      <w:szCs w:val="20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" TargetMode="External"/><Relationship Id="rId10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/document" TargetMode="External"/><Relationship Id="rId11" Type="http://schemas.openxmlformats.org/officeDocument/2006/relationships/hyperlink" Target="consultantplus://offline/ref=01DB43AF7C0C72892532F5DFF29490888E1A575DFD2119A6E9B179B3EE2DB76696F7F3C43954F41784B6F9CE1653D7C8B962B19EEE3B1524BCxEI" TargetMode="External"/><Relationship Id="rId12" Type="http://schemas.openxmlformats.org/officeDocument/2006/relationships/hyperlink" Target="consultantplus://offline/ref=01DB43AF7C0C72892532F5DFF29490888B1A565FF62619A6E9B179B3EE2DB76696F7F3C43954F51286B6F9CE1653D7C8B962B19EEE3B1524BCxEI" TargetMode="External"/><Relationship Id="rId13" Type="http://schemas.openxmlformats.org/officeDocument/2006/relationships/hyperlink" Target="consultantplus://offline/ref=01DB43AF7C0C72892532F5DFF29490888E1D5556FF2219A6E9B179B3EE2DB76684F7ABC83B5DEA1785A3AF9F50B0x5I" TargetMode="External"/><Relationship Id="rId14" Type="http://schemas.openxmlformats.org/officeDocument/2006/relationships/hyperlink" Target="https://login.consultant.ru/link/?req=doc&amp;base=LAW&amp;n=472841&amp;date=06.06.2024&amp;dst=5769&amp;field=134" TargetMode="External"/><Relationship Id="rId15" Type="http://schemas.openxmlformats.org/officeDocument/2006/relationships/hyperlink" Target="consultantplus://offline/ref=9445DC87D48D5BAEA25E960453EE9257D66D91B0F4C463AE5044EC8C5857C8347DC7046D7B877D8D96F9BC507547hFK" TargetMode="External"/><Relationship Id="rId16" Type="http://schemas.openxmlformats.org/officeDocument/2006/relationships/hyperlink" Target="consultantplus://offline/ref=EFDA7DF67D32324D460BEA75CF4E44B527EE6EF133F9B2D3D4CBCE38653F608E3A04569C729065BFE29C14BE4D3E7FAC417424425093E39AF8P4J" TargetMode="External"/><Relationship Id="rId17" Type="http://schemas.openxmlformats.org/officeDocument/2006/relationships/hyperlink" Target="http://budget.gov.ru/" TargetMode="External"/><Relationship Id="rId18" Type="http://schemas.openxmlformats.org/officeDocument/2006/relationships/hyperlink" Target="https://xn--l1agf.xn--p1ai/" TargetMode="External"/><Relationship Id="rId19" Type="http://schemas.openxmlformats.org/officeDocument/2006/relationships/hyperlink" Target="https://login.consultant.ru/link/?req=doc&amp;base=LAW&amp;n=472841&amp;date=06.06.2024&amp;dst=5769&amp;field=134" TargetMode="External"/><Relationship Id="rId20" Type="http://schemas.openxmlformats.org/officeDocument/2006/relationships/hyperlink" Target="https://login.consultant.ru/link/?req=doc&amp;base=LAW&amp;n=121087&amp;dst=100142" TargetMode="External"/><Relationship Id="rId21" Type="http://schemas.openxmlformats.org/officeDocument/2006/relationships/hyperlink" Target="https://login.consultant.ru/link/?req=doc&amp;base=LAW&amp;n=4529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Липецкой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myravyeva</dc:creator>
  <cp:revision>28</cp:revision>
  <dcterms:created xsi:type="dcterms:W3CDTF">2023-11-14T05:57:00Z</dcterms:created>
  <dcterms:modified xsi:type="dcterms:W3CDTF">2024-10-11T09:02:29Z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2022-07-07T00:00:00Z</vt:filetime>
  </property>
</Properties>
</file>